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DC" w:rsidRPr="00CF6E50" w:rsidRDefault="001F14DC" w:rsidP="005E3E01">
      <w:pPr>
        <w:tabs>
          <w:tab w:val="left" w:pos="566"/>
        </w:tabs>
        <w:spacing w:after="0" w:line="240" w:lineRule="auto"/>
        <w:jc w:val="both"/>
        <w:rPr>
          <w:rFonts w:ascii="Times New Roman" w:eastAsia="ヒラギノ明朝 Pro W3" w:hAnsi="Times New Roman" w:cs="Times New Roman"/>
          <w:sz w:val="24"/>
          <w:szCs w:val="24"/>
          <w:u w:val="single"/>
        </w:rPr>
      </w:pPr>
      <w:bookmarkStart w:id="0" w:name="_GoBack"/>
      <w:bookmarkEnd w:id="0"/>
    </w:p>
    <w:p w:rsidR="001F14DC" w:rsidRPr="00CF6E50" w:rsidRDefault="001F14DC"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320ECA" w:rsidRPr="00CF6E50" w:rsidRDefault="00320ECA" w:rsidP="005E3E01">
      <w:pPr>
        <w:tabs>
          <w:tab w:val="left" w:pos="566"/>
        </w:tabs>
        <w:spacing w:after="0" w:line="240" w:lineRule="auto"/>
        <w:jc w:val="both"/>
        <w:rPr>
          <w:rFonts w:ascii="Times New Roman" w:eastAsia="ヒラギノ明朝 Pro W3" w:hAnsi="Times New Roman" w:cs="Times New Roman"/>
          <w:sz w:val="24"/>
          <w:szCs w:val="24"/>
          <w:u w:val="single"/>
        </w:rPr>
      </w:pPr>
      <w:r w:rsidRPr="00CF6E50">
        <w:rPr>
          <w:rFonts w:ascii="Times New Roman" w:eastAsia="ヒラギノ明朝 Pro W3" w:hAnsi="Times New Roman" w:cs="Times New Roman"/>
          <w:sz w:val="24"/>
          <w:szCs w:val="24"/>
          <w:u w:val="single"/>
        </w:rPr>
        <w:t>Enerji Piyasası Düzenleme Kurumundan:</w:t>
      </w:r>
    </w:p>
    <w:p w:rsidR="00AC63BC" w:rsidRPr="00CF6E50" w:rsidRDefault="00AC63BC"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5E3E01" w:rsidRPr="00CF6E50" w:rsidRDefault="005E3E01"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841DE3" w:rsidRPr="00CF6E50" w:rsidRDefault="00841DE3" w:rsidP="00841DE3">
      <w:pPr>
        <w:spacing w:after="0" w:line="240" w:lineRule="auto"/>
        <w:jc w:val="center"/>
        <w:rPr>
          <w:rFonts w:ascii="Times New Roman" w:eastAsia="Calibri" w:hAnsi="Times New Roman" w:cs="Times New Roman"/>
          <w:b/>
          <w:noProof w:val="0"/>
          <w:sz w:val="24"/>
          <w:szCs w:val="24"/>
          <w:lang w:eastAsia="en-US"/>
        </w:rPr>
      </w:pPr>
      <w:r w:rsidRPr="00CF6E50">
        <w:rPr>
          <w:rFonts w:ascii="Times New Roman" w:eastAsia="Calibri" w:hAnsi="Times New Roman" w:cs="Times New Roman"/>
          <w:b/>
          <w:noProof w:val="0"/>
          <w:sz w:val="24"/>
          <w:szCs w:val="24"/>
          <w:lang w:eastAsia="en-US"/>
        </w:rPr>
        <w:t>KURUL KARARI</w:t>
      </w:r>
    </w:p>
    <w:p w:rsidR="00841DE3" w:rsidRPr="00CF6E50" w:rsidRDefault="00841DE3" w:rsidP="00841DE3">
      <w:pPr>
        <w:spacing w:after="0" w:line="240" w:lineRule="auto"/>
        <w:jc w:val="center"/>
        <w:rPr>
          <w:rFonts w:ascii="Times New Roman" w:eastAsia="Calibri" w:hAnsi="Times New Roman" w:cs="Times New Roman"/>
          <w:b/>
          <w:noProof w:val="0"/>
          <w:sz w:val="24"/>
          <w:szCs w:val="24"/>
          <w:lang w:eastAsia="en-US"/>
        </w:rPr>
      </w:pPr>
    </w:p>
    <w:p w:rsidR="00841DE3" w:rsidRPr="00CF6E50" w:rsidRDefault="00841DE3" w:rsidP="00841DE3">
      <w:pPr>
        <w:spacing w:after="0" w:line="240" w:lineRule="auto"/>
        <w:rPr>
          <w:rFonts w:ascii="Times New Roman" w:eastAsia="Calibri" w:hAnsi="Times New Roman" w:cs="Times New Roman"/>
          <w:noProof w:val="0"/>
          <w:sz w:val="24"/>
          <w:szCs w:val="24"/>
          <w:lang w:eastAsia="en-US"/>
        </w:rPr>
      </w:pPr>
      <w:r w:rsidRPr="00CF6E50">
        <w:rPr>
          <w:rFonts w:ascii="Times New Roman" w:eastAsia="Calibri" w:hAnsi="Times New Roman" w:cs="Times New Roman"/>
          <w:b/>
          <w:noProof w:val="0"/>
          <w:sz w:val="24"/>
          <w:szCs w:val="24"/>
          <w:lang w:eastAsia="en-US"/>
        </w:rPr>
        <w:t>Karar No :</w:t>
      </w:r>
      <w:r w:rsidR="0036101A" w:rsidRPr="00CF6E50">
        <w:rPr>
          <w:rFonts w:ascii="Times New Roman" w:eastAsia="Calibri" w:hAnsi="Times New Roman" w:cs="Times New Roman"/>
          <w:b/>
          <w:noProof w:val="0"/>
          <w:sz w:val="24"/>
          <w:szCs w:val="24"/>
          <w:lang w:eastAsia="en-US"/>
        </w:rPr>
        <w:t xml:space="preserve"> </w:t>
      </w:r>
      <w:r w:rsidR="00070FA5" w:rsidRPr="00CF6E50">
        <w:rPr>
          <w:rFonts w:ascii="Times New Roman" w:eastAsia="Calibri" w:hAnsi="Times New Roman" w:cs="Times New Roman"/>
          <w:noProof w:val="0"/>
          <w:sz w:val="24"/>
          <w:szCs w:val="24"/>
          <w:lang w:eastAsia="en-US"/>
        </w:rPr>
        <w:t>1</w:t>
      </w:r>
      <w:r w:rsidR="00144477">
        <w:rPr>
          <w:rFonts w:ascii="Times New Roman" w:eastAsia="Calibri" w:hAnsi="Times New Roman" w:cs="Times New Roman"/>
          <w:noProof w:val="0"/>
          <w:sz w:val="24"/>
          <w:szCs w:val="24"/>
          <w:lang w:eastAsia="en-US"/>
        </w:rPr>
        <w:t>0358-</w:t>
      </w:r>
      <w:r w:rsidR="00867D47">
        <w:rPr>
          <w:rFonts w:ascii="Times New Roman" w:eastAsia="Calibri" w:hAnsi="Times New Roman" w:cs="Times New Roman"/>
          <w:noProof w:val="0"/>
          <w:sz w:val="24"/>
          <w:szCs w:val="24"/>
          <w:lang w:eastAsia="en-US"/>
        </w:rPr>
        <w:t>2</w:t>
      </w:r>
      <w:r w:rsidRPr="00CF6E50">
        <w:rPr>
          <w:rFonts w:ascii="Times New Roman" w:eastAsia="Calibri" w:hAnsi="Times New Roman" w:cs="Times New Roman"/>
          <w:b/>
          <w:noProof w:val="0"/>
          <w:sz w:val="24"/>
          <w:szCs w:val="24"/>
          <w:lang w:eastAsia="en-US"/>
        </w:rPr>
        <w:t xml:space="preserve">                                                                         Karar Tarihi : </w:t>
      </w:r>
      <w:r w:rsidR="00144477">
        <w:rPr>
          <w:rFonts w:ascii="Times New Roman" w:eastAsia="Calibri" w:hAnsi="Times New Roman" w:cs="Times New Roman"/>
          <w:noProof w:val="0"/>
          <w:sz w:val="24"/>
          <w:szCs w:val="24"/>
          <w:lang w:eastAsia="en-US"/>
        </w:rPr>
        <w:t>12</w:t>
      </w:r>
      <w:r w:rsidR="00070FA5" w:rsidRPr="00CF6E50">
        <w:rPr>
          <w:rFonts w:ascii="Times New Roman" w:eastAsia="Calibri" w:hAnsi="Times New Roman" w:cs="Times New Roman"/>
          <w:noProof w:val="0"/>
          <w:sz w:val="24"/>
          <w:szCs w:val="24"/>
          <w:lang w:eastAsia="en-US"/>
        </w:rPr>
        <w:t>.0</w:t>
      </w:r>
      <w:r w:rsidR="00144477">
        <w:rPr>
          <w:rFonts w:ascii="Times New Roman" w:eastAsia="Calibri" w:hAnsi="Times New Roman" w:cs="Times New Roman"/>
          <w:noProof w:val="0"/>
          <w:sz w:val="24"/>
          <w:szCs w:val="24"/>
          <w:lang w:eastAsia="en-US"/>
        </w:rPr>
        <w:t>8</w:t>
      </w:r>
      <w:r w:rsidR="00070FA5" w:rsidRPr="00CF6E50">
        <w:rPr>
          <w:rFonts w:ascii="Times New Roman" w:eastAsia="Calibri" w:hAnsi="Times New Roman" w:cs="Times New Roman"/>
          <w:noProof w:val="0"/>
          <w:sz w:val="24"/>
          <w:szCs w:val="24"/>
          <w:lang w:eastAsia="en-US"/>
        </w:rPr>
        <w:t>.2021</w:t>
      </w:r>
    </w:p>
    <w:p w:rsidR="00841DE3" w:rsidRPr="00CF6E50" w:rsidRDefault="00841DE3" w:rsidP="00841DE3">
      <w:pPr>
        <w:spacing w:after="0" w:line="240" w:lineRule="auto"/>
        <w:rPr>
          <w:rFonts w:ascii="Times New Roman" w:eastAsia="Calibri" w:hAnsi="Times New Roman" w:cs="Times New Roman"/>
          <w:noProof w:val="0"/>
          <w:sz w:val="24"/>
          <w:szCs w:val="24"/>
          <w:lang w:eastAsia="en-US"/>
        </w:rPr>
      </w:pPr>
    </w:p>
    <w:p w:rsidR="00841DE3" w:rsidRPr="00CF6E50" w:rsidRDefault="00841DE3" w:rsidP="00841DE3">
      <w:pPr>
        <w:spacing w:after="0" w:line="240" w:lineRule="auto"/>
        <w:rPr>
          <w:rFonts w:ascii="Times New Roman" w:eastAsia="Calibri" w:hAnsi="Times New Roman" w:cs="Times New Roman"/>
          <w:b/>
          <w:noProof w:val="0"/>
          <w:sz w:val="24"/>
          <w:szCs w:val="24"/>
          <w:lang w:eastAsia="en-US"/>
        </w:rPr>
      </w:pPr>
    </w:p>
    <w:p w:rsidR="00867D47" w:rsidRPr="00867D47" w:rsidRDefault="000D23FB" w:rsidP="00867D47">
      <w:pPr>
        <w:pStyle w:val="ListeParagraf"/>
        <w:tabs>
          <w:tab w:val="left" w:pos="851"/>
        </w:tabs>
        <w:spacing w:after="0" w:line="240" w:lineRule="auto"/>
        <w:ind w:left="0" w:firstLine="567"/>
        <w:jc w:val="both"/>
        <w:rPr>
          <w:rFonts w:ascii="Times New Roman" w:eastAsia="Times New Roman" w:hAnsi="Times New Roman" w:cs="Times New Roman"/>
          <w:sz w:val="28"/>
          <w:szCs w:val="24"/>
          <w:lang w:eastAsia="tr-TR"/>
        </w:rPr>
      </w:pPr>
      <w:r w:rsidRPr="00CF6E50">
        <w:rPr>
          <w:rFonts w:ascii="Times New Roman" w:eastAsia="Calibri" w:hAnsi="Times New Roman" w:cs="Times New Roman"/>
          <w:sz w:val="24"/>
          <w:szCs w:val="24"/>
        </w:rPr>
        <w:t xml:space="preserve">Enerji Piyasası Düzenleme Kurulunun </w:t>
      </w:r>
      <w:r w:rsidR="0036101A" w:rsidRPr="00CF6E50">
        <w:rPr>
          <w:rFonts w:ascii="Times New Roman" w:eastAsia="Calibri" w:hAnsi="Times New Roman" w:cs="Times New Roman"/>
          <w:sz w:val="24"/>
          <w:szCs w:val="24"/>
        </w:rPr>
        <w:t>1</w:t>
      </w:r>
      <w:r w:rsidR="00144477">
        <w:rPr>
          <w:rFonts w:ascii="Times New Roman" w:eastAsia="Calibri" w:hAnsi="Times New Roman" w:cs="Times New Roman"/>
          <w:sz w:val="24"/>
          <w:szCs w:val="24"/>
        </w:rPr>
        <w:t>2.08</w:t>
      </w:r>
      <w:r w:rsidR="00070FA5" w:rsidRPr="00CF6E50">
        <w:rPr>
          <w:rFonts w:ascii="Times New Roman" w:eastAsia="Calibri" w:hAnsi="Times New Roman" w:cs="Times New Roman"/>
          <w:sz w:val="24"/>
          <w:szCs w:val="24"/>
        </w:rPr>
        <w:t>.2021</w:t>
      </w:r>
      <w:r w:rsidRPr="00CF6E50">
        <w:rPr>
          <w:rFonts w:ascii="Times New Roman" w:eastAsia="Calibri" w:hAnsi="Times New Roman" w:cs="Times New Roman"/>
          <w:sz w:val="24"/>
          <w:szCs w:val="24"/>
        </w:rPr>
        <w:t xml:space="preserve"> tarihli toplantısında;</w:t>
      </w:r>
      <w:r w:rsidR="00E0502F" w:rsidRPr="00CF6E50">
        <w:rPr>
          <w:rFonts w:ascii="Times New Roman" w:eastAsia="Times New Roman" w:hAnsi="Times New Roman" w:cs="Times New Roman"/>
          <w:sz w:val="28"/>
          <w:szCs w:val="24"/>
          <w:lang w:eastAsia="tr-TR"/>
        </w:rPr>
        <w:t xml:space="preserve"> </w:t>
      </w:r>
      <w:r w:rsidR="00867D47" w:rsidRPr="00867D47">
        <w:rPr>
          <w:rFonts w:ascii="Times New Roman" w:eastAsia="Times New Roman" w:hAnsi="Times New Roman" w:cs="Times New Roman"/>
          <w:sz w:val="24"/>
          <w:szCs w:val="24"/>
          <w:lang w:eastAsia="tr-TR"/>
        </w:rPr>
        <w:t>ekteki "Talep Tarafı Yedeği Hizmeti Kapsamında Tüketim Tesislerinin Belgelendirilmesine ilişkin Usul ve Esaslar”ın kabul edilerek Resmî Gazete’de yayımlanmasına,</w:t>
      </w:r>
    </w:p>
    <w:p w:rsidR="00070FA5" w:rsidRPr="00CF6E50" w:rsidRDefault="00070FA5" w:rsidP="00070FA5">
      <w:pPr>
        <w:spacing w:after="0" w:line="240" w:lineRule="auto"/>
        <w:jc w:val="both"/>
        <w:rPr>
          <w:rFonts w:ascii="Times New Roman" w:eastAsia="Times New Roman" w:hAnsi="Times New Roman" w:cs="Times New Roman"/>
          <w:noProof w:val="0"/>
          <w:sz w:val="20"/>
          <w:szCs w:val="20"/>
          <w:lang w:eastAsia="tr-TR"/>
        </w:rPr>
      </w:pPr>
    </w:p>
    <w:p w:rsidR="00070FA5" w:rsidRPr="00CF6E50" w:rsidRDefault="00070FA5" w:rsidP="00070FA5">
      <w:pPr>
        <w:spacing w:after="0" w:line="240" w:lineRule="auto"/>
        <w:ind w:left="567"/>
        <w:jc w:val="both"/>
        <w:rPr>
          <w:rFonts w:ascii="Times New Roman" w:eastAsia="Times New Roman" w:hAnsi="Times New Roman" w:cs="Times New Roman"/>
          <w:noProof w:val="0"/>
          <w:sz w:val="24"/>
          <w:szCs w:val="24"/>
          <w:lang w:eastAsia="tr-TR"/>
        </w:rPr>
      </w:pPr>
      <w:r w:rsidRPr="00CF6E50">
        <w:rPr>
          <w:rFonts w:ascii="Times New Roman" w:eastAsia="Times New Roman" w:hAnsi="Times New Roman" w:cs="Times New Roman"/>
          <w:noProof w:val="0"/>
          <w:sz w:val="24"/>
          <w:szCs w:val="24"/>
          <w:lang w:eastAsia="tr-TR"/>
        </w:rPr>
        <w:t xml:space="preserve"> karar verilmiştir.</w:t>
      </w:r>
    </w:p>
    <w:p w:rsidR="00070FA5" w:rsidRDefault="00070FA5" w:rsidP="00070FA5">
      <w:pPr>
        <w:spacing w:after="0" w:line="240" w:lineRule="auto"/>
        <w:ind w:left="567"/>
        <w:jc w:val="both"/>
        <w:rPr>
          <w:rFonts w:ascii="Times New Roman" w:eastAsia="Times New Roman" w:hAnsi="Times New Roman" w:cs="Times New Roman"/>
          <w:noProof w:val="0"/>
          <w:sz w:val="24"/>
          <w:szCs w:val="24"/>
          <w:lang w:eastAsia="tr-TR"/>
        </w:rPr>
      </w:pPr>
    </w:p>
    <w:p w:rsidR="00867D47" w:rsidRDefault="00867D47" w:rsidP="00070FA5">
      <w:pPr>
        <w:spacing w:after="0" w:line="240" w:lineRule="auto"/>
        <w:ind w:left="567"/>
        <w:jc w:val="both"/>
        <w:rPr>
          <w:rFonts w:ascii="Times New Roman" w:eastAsia="Times New Roman" w:hAnsi="Times New Roman" w:cs="Times New Roman"/>
          <w:noProof w:val="0"/>
          <w:sz w:val="24"/>
          <w:szCs w:val="24"/>
          <w:lang w:eastAsia="tr-TR"/>
        </w:rPr>
      </w:pPr>
    </w:p>
    <w:p w:rsidR="00144477" w:rsidRPr="00CF6E50" w:rsidRDefault="00144477" w:rsidP="00070FA5">
      <w:pPr>
        <w:spacing w:after="0" w:line="240" w:lineRule="auto"/>
        <w:ind w:left="567"/>
        <w:jc w:val="both"/>
        <w:rPr>
          <w:rFonts w:ascii="Times New Roman" w:eastAsia="Times New Roman" w:hAnsi="Times New Roman" w:cs="Times New Roman"/>
          <w:noProof w:val="0"/>
          <w:sz w:val="24"/>
          <w:szCs w:val="24"/>
          <w:lang w:eastAsia="tr-TR"/>
        </w:rPr>
      </w:pPr>
    </w:p>
    <w:p w:rsidR="00070FA5" w:rsidRPr="00CF6E50" w:rsidRDefault="00070FA5" w:rsidP="00070FA5">
      <w:pPr>
        <w:spacing w:after="0" w:line="240" w:lineRule="auto"/>
        <w:ind w:left="2977" w:hanging="2977"/>
        <w:contextualSpacing/>
        <w:rPr>
          <w:rFonts w:ascii="Times New Roman" w:eastAsia="Calibri" w:hAnsi="Times New Roman" w:cs="Times New Roman"/>
          <w:b/>
          <w:noProof w:val="0"/>
          <w:sz w:val="24"/>
          <w:szCs w:val="24"/>
          <w:lang w:eastAsia="en-US"/>
        </w:rPr>
      </w:pPr>
      <w:r w:rsidRPr="00CF6E50">
        <w:rPr>
          <w:rFonts w:ascii="Times New Roman" w:eastAsia="Calibri" w:hAnsi="Times New Roman" w:cs="Times New Roman"/>
          <w:b/>
          <w:noProof w:val="0"/>
          <w:sz w:val="24"/>
          <w:szCs w:val="24"/>
          <w:lang w:eastAsia="en-US"/>
        </w:rPr>
        <w:t xml:space="preserve">                        </w:t>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Pr="00CF6E50">
        <w:rPr>
          <w:rFonts w:ascii="Times New Roman" w:eastAsia="Calibri" w:hAnsi="Times New Roman" w:cs="Times New Roman"/>
          <w:b/>
          <w:noProof w:val="0"/>
          <w:sz w:val="24"/>
          <w:szCs w:val="24"/>
          <w:lang w:eastAsia="en-US"/>
        </w:rPr>
        <w:tab/>
      </w:r>
      <w:r w:rsidR="0000677F" w:rsidRPr="00CF6E50">
        <w:rPr>
          <w:rFonts w:ascii="Times New Roman" w:eastAsia="Calibri" w:hAnsi="Times New Roman" w:cs="Times New Roman"/>
          <w:b/>
          <w:noProof w:val="0"/>
          <w:sz w:val="24"/>
          <w:szCs w:val="24"/>
          <w:lang w:eastAsia="en-US"/>
        </w:rPr>
        <w:t xml:space="preserve">   </w:t>
      </w:r>
      <w:r w:rsidRPr="00CF6E50">
        <w:rPr>
          <w:rFonts w:ascii="Times New Roman" w:eastAsia="Calibri" w:hAnsi="Times New Roman" w:cs="Times New Roman"/>
          <w:b/>
          <w:noProof w:val="0"/>
          <w:sz w:val="24"/>
          <w:szCs w:val="24"/>
          <w:lang w:eastAsia="en-US"/>
        </w:rPr>
        <w:t>EK</w:t>
      </w:r>
    </w:p>
    <w:p w:rsidR="00070FA5" w:rsidRPr="00CF6E50" w:rsidRDefault="00070FA5" w:rsidP="00070FA5">
      <w:pPr>
        <w:spacing w:after="0" w:line="240" w:lineRule="auto"/>
        <w:ind w:left="7920" w:firstLine="720"/>
        <w:contextualSpacing/>
        <w:rPr>
          <w:rFonts w:ascii="Times New Roman" w:eastAsia="Calibri" w:hAnsi="Times New Roman" w:cs="Times New Roman"/>
          <w:b/>
          <w:noProof w:val="0"/>
          <w:sz w:val="16"/>
          <w:szCs w:val="16"/>
          <w:lang w:eastAsia="en-US"/>
        </w:rPr>
      </w:pPr>
    </w:p>
    <w:p w:rsidR="00867D47" w:rsidRPr="00867D47" w:rsidRDefault="00867D47" w:rsidP="00867D47">
      <w:pPr>
        <w:spacing w:after="0" w:line="240" w:lineRule="auto"/>
        <w:ind w:firstLine="708"/>
        <w:jc w:val="center"/>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TALEP TARAFI YEDEĞİ HİZMETİ KAPSAMINDA TÜKETİM TESİSLERİNİN BELGELENDİRİLMESİNE İLİŞKİN USUL VE ESASLAR</w:t>
      </w:r>
    </w:p>
    <w:p w:rsidR="00867D47" w:rsidRPr="00867D47" w:rsidRDefault="00867D47" w:rsidP="00867D47">
      <w:pPr>
        <w:widowControl w:val="0"/>
        <w:tabs>
          <w:tab w:val="left" w:pos="708"/>
        </w:tabs>
        <w:adjustRightInd w:val="0"/>
        <w:spacing w:after="0" w:line="240" w:lineRule="auto"/>
        <w:jc w:val="center"/>
        <w:rPr>
          <w:rFonts w:ascii="Times New Roman" w:eastAsia="Calibri" w:hAnsi="Times New Roman" w:cs="Times New Roman"/>
          <w:b/>
          <w:noProof w:val="0"/>
          <w:w w:val="105"/>
          <w:sz w:val="24"/>
          <w:szCs w:val="24"/>
          <w:lang w:eastAsia="tr-TR"/>
        </w:rPr>
      </w:pPr>
      <w:r w:rsidRPr="00867D47">
        <w:rPr>
          <w:rFonts w:ascii="Times New Roman" w:eastAsia="Calibri" w:hAnsi="Times New Roman" w:cs="Times New Roman"/>
          <w:b/>
          <w:noProof w:val="0"/>
          <w:w w:val="105"/>
          <w:sz w:val="24"/>
          <w:szCs w:val="24"/>
          <w:lang w:eastAsia="tr-TR"/>
        </w:rPr>
        <w:t>BİRİNCİ BÖLÜM</w:t>
      </w:r>
    </w:p>
    <w:p w:rsidR="00867D47" w:rsidRPr="00867D47" w:rsidRDefault="00867D47" w:rsidP="00867D47">
      <w:pPr>
        <w:widowControl w:val="0"/>
        <w:tabs>
          <w:tab w:val="left" w:pos="708"/>
        </w:tabs>
        <w:adjustRightInd w:val="0"/>
        <w:spacing w:after="0" w:line="240" w:lineRule="auto"/>
        <w:jc w:val="center"/>
        <w:rPr>
          <w:rFonts w:ascii="Times New Roman" w:eastAsia="Calibri" w:hAnsi="Times New Roman" w:cs="Times New Roman"/>
          <w:b/>
          <w:noProof w:val="0"/>
          <w:w w:val="105"/>
          <w:sz w:val="24"/>
          <w:szCs w:val="24"/>
          <w:lang w:eastAsia="tr-TR"/>
        </w:rPr>
      </w:pPr>
      <w:r w:rsidRPr="00867D47">
        <w:rPr>
          <w:rFonts w:ascii="Times New Roman" w:eastAsia="Calibri" w:hAnsi="Times New Roman" w:cs="Times New Roman"/>
          <w:b/>
          <w:noProof w:val="0"/>
          <w:w w:val="105"/>
          <w:sz w:val="24"/>
          <w:szCs w:val="24"/>
          <w:lang w:eastAsia="tr-TR"/>
        </w:rPr>
        <w:t>Amaç, Kapsam ve Tanımlar</w:t>
      </w:r>
    </w:p>
    <w:p w:rsidR="00867D47" w:rsidRPr="00867D47" w:rsidRDefault="00867D47" w:rsidP="00867D47">
      <w:pPr>
        <w:spacing w:after="0" w:line="240" w:lineRule="auto"/>
        <w:ind w:firstLine="708"/>
        <w:jc w:val="both"/>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 xml:space="preserve">Amaç </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b/>
          <w:noProof w:val="0"/>
          <w:sz w:val="24"/>
          <w:szCs w:val="24"/>
          <w:lang w:eastAsia="tr-TR"/>
        </w:rPr>
        <w:t xml:space="preserve">Madde 1- </w:t>
      </w:r>
      <w:r w:rsidRPr="00867D47">
        <w:rPr>
          <w:rFonts w:ascii="Times New Roman" w:eastAsia="Times New Roman" w:hAnsi="Times New Roman" w:cs="Times New Roman"/>
          <w:noProof w:val="0"/>
          <w:sz w:val="24"/>
          <w:szCs w:val="24"/>
          <w:lang w:eastAsia="tr-TR"/>
        </w:rPr>
        <w:t>(1) Bu Usul ve Esasların amacı; 26/11/2017 tarihli ve 30252 sayılı Resmî Gazete’de yayımlanan Elektrik Piyasası Yan Hizmetler Yönetmeliğinde tanımlanan “Talep Tarafı Yedeği” hizmeti kapsamında yer alacak tüketim tesislerinin, TEİAŞ’a hizmet sağlamak üzere; gerekli kontrol, ölçme, izleme ve doğrulama altyapısına sahip olduğunun ve gerekli bilgi akışını sağlayabileceğinin, TEİAŞ tarafından belgelendirilmesine ilişkin usul ve esasları belirlemektir.</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p>
    <w:p w:rsidR="00867D47" w:rsidRPr="00867D47" w:rsidRDefault="00867D47" w:rsidP="00867D47">
      <w:pPr>
        <w:spacing w:after="0" w:line="240" w:lineRule="auto"/>
        <w:ind w:firstLine="708"/>
        <w:jc w:val="both"/>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Kapsam</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b/>
          <w:noProof w:val="0"/>
          <w:sz w:val="24"/>
          <w:szCs w:val="24"/>
          <w:lang w:eastAsia="tr-TR"/>
        </w:rPr>
        <w:t>Madde 2</w:t>
      </w:r>
      <w:r w:rsidRPr="00867D47">
        <w:rPr>
          <w:rFonts w:ascii="Times New Roman" w:eastAsia="Calibri" w:hAnsi="Times New Roman" w:cs="Times New Roman"/>
          <w:noProof w:val="0"/>
          <w:sz w:val="24"/>
          <w:szCs w:val="24"/>
          <w:lang w:eastAsia="tr-TR"/>
        </w:rPr>
        <w:t xml:space="preserve">– (1) </w:t>
      </w:r>
      <w:r w:rsidRPr="00867D47">
        <w:rPr>
          <w:rFonts w:ascii="Times New Roman" w:eastAsia="Times New Roman" w:hAnsi="Times New Roman" w:cs="Times New Roman"/>
          <w:noProof w:val="0"/>
          <w:sz w:val="24"/>
          <w:szCs w:val="24"/>
          <w:lang w:eastAsia="tr-TR"/>
        </w:rPr>
        <w:t>Bu Usul ve Esaslar; talep tarafı yedeği hizmeti kapsamında, TEİAŞ tarafından yürütülecek tedarik sürecine katılmak isteyen tüketim tesisi sahibi tüzel kişiler tarafından, talep tarafı yedeği hizmeti uygunluk belgesini temin etmek üzere TEİAŞ’a yapılacak başvurularda istenen belgelere, TEİAŞ tarafından başvuruların değerlendirilme sürecine ve uygunluk belgesinin TEİAŞ tarafından düzenlenmesine ilişkin hususları kapsar.</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p>
    <w:p w:rsidR="00867D47" w:rsidRPr="00867D47" w:rsidRDefault="00867D47" w:rsidP="00867D47">
      <w:pPr>
        <w:spacing w:after="0" w:line="240" w:lineRule="auto"/>
        <w:ind w:firstLine="708"/>
        <w:jc w:val="both"/>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Dayanak</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Times New Roman" w:hAnsi="Times New Roman" w:cs="Times New Roman"/>
          <w:b/>
          <w:noProof w:val="0"/>
          <w:sz w:val="24"/>
          <w:szCs w:val="24"/>
          <w:lang w:eastAsia="tr-TR"/>
        </w:rPr>
        <w:t>Madde 3</w:t>
      </w:r>
      <w:r w:rsidRPr="00867D47">
        <w:rPr>
          <w:rFonts w:ascii="Times New Roman" w:eastAsia="Calibri" w:hAnsi="Times New Roman" w:cs="Times New Roman"/>
          <w:noProof w:val="0"/>
          <w:sz w:val="24"/>
          <w:szCs w:val="24"/>
          <w:lang w:eastAsia="tr-TR"/>
        </w:rPr>
        <w:t xml:space="preserve">– (1) </w:t>
      </w:r>
      <w:r w:rsidRPr="00867D47">
        <w:rPr>
          <w:rFonts w:ascii="Times New Roman" w:eastAsia="Times New Roman" w:hAnsi="Times New Roman" w:cs="Times New Roman"/>
          <w:noProof w:val="0"/>
          <w:sz w:val="24"/>
          <w:szCs w:val="24"/>
          <w:lang w:eastAsia="tr-TR"/>
        </w:rPr>
        <w:t>Bu Usul ve Esaslar, 26/11/2017 tarihli ve 30252 sayılı Resmî Gazete’de yayımlanan Elektrik Piyasası Yan Hizmetler Yönetmeliği’ne dayanılarak hazırlanmıştır.</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p>
    <w:p w:rsidR="00867D47" w:rsidRPr="00867D47" w:rsidRDefault="00867D47" w:rsidP="00867D47">
      <w:pPr>
        <w:spacing w:after="0" w:line="240" w:lineRule="auto"/>
        <w:ind w:firstLine="708"/>
        <w:jc w:val="both"/>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Tanımlar ve kısaltmalar</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b/>
          <w:noProof w:val="0"/>
          <w:sz w:val="24"/>
          <w:szCs w:val="24"/>
          <w:lang w:eastAsia="tr-TR"/>
        </w:rPr>
        <w:t xml:space="preserve">Madde 4- </w:t>
      </w:r>
      <w:r w:rsidRPr="00867D47">
        <w:rPr>
          <w:rFonts w:ascii="Times New Roman" w:eastAsia="Times New Roman" w:hAnsi="Times New Roman" w:cs="Times New Roman"/>
          <w:noProof w:val="0"/>
          <w:sz w:val="24"/>
          <w:szCs w:val="24"/>
          <w:lang w:eastAsia="tr-TR"/>
        </w:rPr>
        <w:t>(1) Bu Usul ve Esaslarda geçen;</w:t>
      </w:r>
    </w:p>
    <w:p w:rsidR="00867D47" w:rsidRPr="00867D47" w:rsidRDefault="00867D47" w:rsidP="00867D47">
      <w:pPr>
        <w:spacing w:after="0" w:line="240" w:lineRule="auto"/>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b/>
          <w:noProof w:val="0"/>
          <w:sz w:val="24"/>
          <w:szCs w:val="24"/>
          <w:lang w:eastAsia="tr-TR"/>
        </w:rPr>
        <w:tab/>
      </w:r>
      <w:r w:rsidRPr="00867D47">
        <w:rPr>
          <w:rFonts w:ascii="Times New Roman" w:eastAsia="Calibri" w:hAnsi="Times New Roman" w:cs="Times New Roman"/>
          <w:noProof w:val="0"/>
          <w:sz w:val="24"/>
          <w:szCs w:val="24"/>
          <w:lang w:eastAsia="tr-TR"/>
        </w:rPr>
        <w:t>a)</w:t>
      </w:r>
      <w:r w:rsidRPr="00867D47">
        <w:rPr>
          <w:rFonts w:ascii="Times New Roman" w:eastAsia="Calibri" w:hAnsi="Times New Roman" w:cs="Times New Roman"/>
          <w:b/>
          <w:noProof w:val="0"/>
          <w:sz w:val="24"/>
          <w:szCs w:val="24"/>
          <w:lang w:eastAsia="tr-TR"/>
        </w:rPr>
        <w:t xml:space="preserve"> Başkan:</w:t>
      </w:r>
      <w:r w:rsidRPr="00867D47">
        <w:rPr>
          <w:rFonts w:ascii="Times New Roman" w:eastAsia="Calibri" w:hAnsi="Times New Roman" w:cs="Times New Roman"/>
          <w:noProof w:val="0"/>
          <w:sz w:val="24"/>
          <w:szCs w:val="24"/>
          <w:lang w:eastAsia="tr-TR"/>
        </w:rPr>
        <w:t xml:space="preserve"> Enerji Piyasası Düzenleme Kurumu Başkanını,</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b)</w:t>
      </w:r>
      <w:r w:rsidRPr="00867D47">
        <w:rPr>
          <w:rFonts w:ascii="Times New Roman" w:eastAsia="Calibri" w:hAnsi="Times New Roman" w:cs="Times New Roman"/>
          <w:b/>
          <w:noProof w:val="0"/>
          <w:sz w:val="24"/>
          <w:szCs w:val="24"/>
          <w:lang w:eastAsia="tr-TR"/>
        </w:rPr>
        <w:t xml:space="preserve"> İlgili mevzuat:</w:t>
      </w:r>
      <w:r w:rsidRPr="00867D47">
        <w:rPr>
          <w:rFonts w:ascii="Times New Roman" w:eastAsia="Calibri" w:hAnsi="Times New Roman" w:cs="Times New Roman"/>
          <w:noProof w:val="0"/>
          <w:sz w:val="24"/>
          <w:szCs w:val="24"/>
          <w:lang w:eastAsia="tr-TR"/>
        </w:rPr>
        <w:t xml:space="preserve"> Elektrik piyasasına ilişkin kanun, Cumhurbaşkanlığı kararnamesi, Cumhurbaşkanı kararı, yönetmelik, tebliğ, genelge ve Kurul kararlarını,</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c)</w:t>
      </w:r>
      <w:r w:rsidRPr="00867D47">
        <w:rPr>
          <w:rFonts w:ascii="Times New Roman" w:eastAsia="Calibri" w:hAnsi="Times New Roman" w:cs="Times New Roman"/>
          <w:b/>
          <w:noProof w:val="0"/>
          <w:sz w:val="24"/>
          <w:szCs w:val="24"/>
          <w:lang w:eastAsia="tr-TR"/>
        </w:rPr>
        <w:t xml:space="preserve"> Kısıntı talimatı:</w:t>
      </w:r>
      <w:r w:rsidRPr="00867D47">
        <w:rPr>
          <w:rFonts w:ascii="Times New Roman" w:eastAsia="Calibri" w:hAnsi="Times New Roman" w:cs="Times New Roman"/>
          <w:noProof w:val="0"/>
          <w:sz w:val="24"/>
          <w:szCs w:val="24"/>
          <w:lang w:eastAsia="tr-TR"/>
        </w:rPr>
        <w:t xml:space="preserve"> Talep tarafı yedeği hizmeti kapsamında TEİAŞ ile arasında yan hizmet anlaşması bulunan tüketim tesisi sahibi tüzel kişilere ilgili hizmet kapsamında verilecek yük düşüm talimatını,</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lastRenderedPageBreak/>
        <w:t>ç)</w:t>
      </w:r>
      <w:r w:rsidRPr="00867D47">
        <w:rPr>
          <w:rFonts w:ascii="Times New Roman" w:eastAsia="Calibri" w:hAnsi="Times New Roman" w:cs="Times New Roman"/>
          <w:b/>
          <w:noProof w:val="0"/>
          <w:sz w:val="24"/>
          <w:szCs w:val="24"/>
          <w:lang w:eastAsia="tr-TR"/>
        </w:rPr>
        <w:t xml:space="preserve"> Operasyon merkezi:</w:t>
      </w:r>
      <w:r w:rsidRPr="00867D47">
        <w:rPr>
          <w:rFonts w:ascii="Times New Roman" w:eastAsia="Calibri" w:hAnsi="Times New Roman" w:cs="Times New Roman"/>
          <w:noProof w:val="0"/>
          <w:sz w:val="24"/>
          <w:szCs w:val="24"/>
          <w:lang w:eastAsia="tr-TR"/>
        </w:rPr>
        <w:t xml:space="preserve"> Talep tarafı yedeği hizmeti kapsamında TEİAŞ ile yan hizmet anlaşması bulunan bir tüketim tesisi sahibi tüzel kişinin, hizmet kapsamında TEİAŞ tarafından TPYS üzerinden gönderilecek kısıntı talimatlarını takip etmek üzere gereken donanım ve yetkilendirilmiş en az bir asil, bir yedek personel ile kurması gereken birimi, </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d)</w:t>
      </w:r>
      <w:r w:rsidRPr="00867D47">
        <w:rPr>
          <w:rFonts w:ascii="Times New Roman" w:eastAsia="Calibri" w:hAnsi="Times New Roman" w:cs="Times New Roman"/>
          <w:b/>
          <w:noProof w:val="0"/>
          <w:sz w:val="24"/>
          <w:szCs w:val="24"/>
          <w:lang w:eastAsia="tr-TR"/>
        </w:rPr>
        <w:t xml:space="preserve"> Sayaç uygunluk yazısı:</w:t>
      </w:r>
      <w:r w:rsidRPr="00867D47">
        <w:rPr>
          <w:rFonts w:ascii="Times New Roman" w:eastAsia="Calibri" w:hAnsi="Times New Roman" w:cs="Times New Roman"/>
          <w:noProof w:val="0"/>
          <w:sz w:val="24"/>
          <w:szCs w:val="24"/>
          <w:lang w:eastAsia="tr-TR"/>
        </w:rPr>
        <w:t xml:space="preserve"> Talep tarafı yedeği hizmeti kapsamında TEİAŞ tarafından düzenlenen tedarik sürecine katılmak isteyen tüketim tesisi sahibi tüzel kişiler tarafından, TEİAŞ’a yapılacak olan uygunluk belgesi başvurusunda sunulmak üzere uzlaştırmaya esas sayacın uygun olduğuna dair yazıyı,</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e)</w:t>
      </w:r>
      <w:r w:rsidRPr="00867D47">
        <w:rPr>
          <w:rFonts w:ascii="Times New Roman" w:eastAsia="Calibri" w:hAnsi="Times New Roman" w:cs="Times New Roman"/>
          <w:b/>
          <w:noProof w:val="0"/>
          <w:sz w:val="24"/>
          <w:szCs w:val="24"/>
          <w:lang w:eastAsia="tr-TR"/>
        </w:rPr>
        <w:t xml:space="preserve"> Sistem Kullanım Anlaşması (SKA):</w:t>
      </w:r>
      <w:r w:rsidRPr="00867D47">
        <w:rPr>
          <w:rFonts w:ascii="Times New Roman" w:eastAsia="Calibri" w:hAnsi="Times New Roman" w:cs="Times New Roman"/>
          <w:noProof w:val="0"/>
          <w:sz w:val="24"/>
          <w:szCs w:val="24"/>
          <w:lang w:eastAsia="tr-TR"/>
        </w:rPr>
        <w:t xml:space="preserve"> Tüketim tesisi sahibi tüzel kişinin, ilgili tesisin iletim sistemine bağlantısı için iletim sistemi işletmecisi ile arasında imzalanmış olan ve iletim sisteminin kullanımına ilişkin genel hükümler ile ilgili tüzel kişiye özgü koşul ve hükümleri içeren anlaşmayı,</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f)</w:t>
      </w:r>
      <w:r w:rsidRPr="00867D47">
        <w:rPr>
          <w:rFonts w:ascii="Times New Roman" w:eastAsia="Calibri" w:hAnsi="Times New Roman" w:cs="Times New Roman"/>
          <w:b/>
          <w:noProof w:val="0"/>
          <w:sz w:val="24"/>
          <w:szCs w:val="24"/>
          <w:lang w:eastAsia="tr-TR"/>
        </w:rPr>
        <w:t xml:space="preserve"> Sistem işletmecisi:</w:t>
      </w:r>
      <w:r w:rsidRPr="00867D47">
        <w:rPr>
          <w:rFonts w:ascii="Times New Roman" w:eastAsia="Calibri" w:hAnsi="Times New Roman" w:cs="Times New Roman"/>
          <w:noProof w:val="0"/>
          <w:sz w:val="24"/>
          <w:szCs w:val="24"/>
          <w:lang w:eastAsia="tr-TR"/>
        </w:rPr>
        <w:t xml:space="preserve"> Türkiye Elektrik İletim Anonim Şirketini,</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g)</w:t>
      </w:r>
      <w:r w:rsidRPr="00867D47">
        <w:rPr>
          <w:rFonts w:ascii="Times New Roman" w:eastAsia="Calibri" w:hAnsi="Times New Roman" w:cs="Times New Roman"/>
          <w:b/>
          <w:noProof w:val="0"/>
          <w:sz w:val="24"/>
          <w:szCs w:val="24"/>
          <w:lang w:eastAsia="tr-TR"/>
        </w:rPr>
        <w:t xml:space="preserve"> TEİAŞ:</w:t>
      </w:r>
      <w:r w:rsidRPr="00867D47">
        <w:rPr>
          <w:rFonts w:ascii="Times New Roman" w:eastAsia="Calibri" w:hAnsi="Times New Roman" w:cs="Times New Roman"/>
          <w:noProof w:val="0"/>
          <w:sz w:val="24"/>
          <w:szCs w:val="24"/>
          <w:lang w:eastAsia="tr-TR"/>
        </w:rPr>
        <w:t xml:space="preserve"> Türkiye Elektrik İletim Anonim Şirketini,</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ğ)</w:t>
      </w:r>
      <w:r w:rsidRPr="00867D47">
        <w:rPr>
          <w:rFonts w:ascii="Times New Roman" w:eastAsia="Calibri" w:hAnsi="Times New Roman" w:cs="Times New Roman"/>
          <w:b/>
          <w:noProof w:val="0"/>
          <w:sz w:val="24"/>
          <w:szCs w:val="24"/>
          <w:lang w:eastAsia="tr-TR"/>
        </w:rPr>
        <w:t xml:space="preserve"> TEİAŞ Piyasa Yönetim Sistemi (TPYS):</w:t>
      </w:r>
      <w:r w:rsidRPr="00867D47">
        <w:rPr>
          <w:rFonts w:ascii="Times New Roman" w:eastAsia="Calibri" w:hAnsi="Times New Roman" w:cs="Times New Roman"/>
          <w:noProof w:val="0"/>
          <w:sz w:val="24"/>
          <w:szCs w:val="24"/>
          <w:lang w:eastAsia="tr-TR"/>
        </w:rPr>
        <w:t xml:space="preserve"> TEİAŞ tarafından yan hizmetlerin tedarik edilmesine ilişkin işlemleri yürütmek üzere kullanılan internet tabanlı platformu,</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h)</w:t>
      </w:r>
      <w:r w:rsidRPr="00867D47">
        <w:rPr>
          <w:rFonts w:ascii="Times New Roman" w:eastAsia="Calibri" w:hAnsi="Times New Roman" w:cs="Times New Roman"/>
          <w:b/>
          <w:noProof w:val="0"/>
          <w:sz w:val="24"/>
          <w:szCs w:val="24"/>
          <w:lang w:eastAsia="tr-TR"/>
        </w:rPr>
        <w:t xml:space="preserve"> Talep tarafı yedeği hizmeti:</w:t>
      </w:r>
      <w:r w:rsidRPr="00867D47">
        <w:rPr>
          <w:rFonts w:ascii="Times New Roman" w:eastAsia="Calibri" w:hAnsi="Times New Roman" w:cs="Times New Roman"/>
          <w:noProof w:val="0"/>
          <w:sz w:val="24"/>
          <w:szCs w:val="24"/>
          <w:lang w:eastAsia="tr-TR"/>
        </w:rPr>
        <w:t xml:space="preserve"> Sistem İşletmecisinin talimatı doğrultusunda hizmete katılan tüketim tesisleri için tüketim miktarının değiştirilmesi suretiyle verilen hizmeti,</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ı)</w:t>
      </w:r>
      <w:r w:rsidRPr="00867D47">
        <w:rPr>
          <w:rFonts w:ascii="Times New Roman" w:eastAsia="Calibri" w:hAnsi="Times New Roman" w:cs="Times New Roman"/>
          <w:b/>
          <w:noProof w:val="0"/>
          <w:sz w:val="24"/>
          <w:szCs w:val="24"/>
          <w:lang w:eastAsia="tr-TR"/>
        </w:rPr>
        <w:t xml:space="preserve"> Talep tarafı yedeği yan hizmet anlaşması:</w:t>
      </w:r>
      <w:r w:rsidRPr="00867D47">
        <w:rPr>
          <w:rFonts w:ascii="Times New Roman" w:eastAsia="Calibri" w:hAnsi="Times New Roman" w:cs="Times New Roman"/>
          <w:noProof w:val="0"/>
          <w:sz w:val="24"/>
          <w:szCs w:val="24"/>
          <w:lang w:eastAsia="tr-TR"/>
        </w:rPr>
        <w:t xml:space="preserve"> Talep tarafı yedeği hizmeti tedarik sürecine katılarak seçilen tüketim tesisi sahibi tüzel kişinin, söz konusu hizmeti sağlamak üzere TEİAŞ ile imzalaması gereken ve hizmetin yürütülmesine ilişkin teknik, idari ve mali koşulları belirleyen anlaşmayı,</w:t>
      </w:r>
    </w:p>
    <w:p w:rsidR="00867D47" w:rsidRPr="00867D47" w:rsidRDefault="00867D47" w:rsidP="00867D47">
      <w:pPr>
        <w:spacing w:after="0" w:line="240" w:lineRule="auto"/>
        <w:ind w:firstLine="708"/>
        <w:jc w:val="both"/>
        <w:rPr>
          <w:rFonts w:ascii="Times New Roman" w:eastAsia="Calibri"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i)</w:t>
      </w:r>
      <w:r w:rsidRPr="00867D47">
        <w:rPr>
          <w:rFonts w:ascii="Times New Roman" w:eastAsia="Calibri" w:hAnsi="Times New Roman" w:cs="Times New Roman"/>
          <w:b/>
          <w:noProof w:val="0"/>
          <w:sz w:val="24"/>
          <w:szCs w:val="24"/>
          <w:lang w:eastAsia="tr-TR"/>
        </w:rPr>
        <w:t xml:space="preserve"> Uygunluk belgesi:</w:t>
      </w:r>
      <w:r w:rsidRPr="00867D47">
        <w:rPr>
          <w:rFonts w:ascii="Times New Roman" w:eastAsia="Calibri" w:hAnsi="Times New Roman" w:cs="Times New Roman"/>
          <w:noProof w:val="0"/>
          <w:sz w:val="24"/>
          <w:szCs w:val="24"/>
          <w:lang w:eastAsia="tr-TR"/>
        </w:rPr>
        <w:t xml:space="preserve"> Talep tarafı yedeği hizmeti kapsamında TEİAŞ tarafından yürütülen tedarik sürecine katılmak isteyen tüketim tesisi sahibi tüzel kişilerin TEİAŞ’a başvurması halinde, ilgili tüketim tesisinin talep tarafı yedeği hizmeti vermeye uygun olduğuna dair TEİAŞ tarafından düzenlenecek olan belgeyi,</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noProof w:val="0"/>
          <w:sz w:val="24"/>
          <w:szCs w:val="24"/>
          <w:lang w:eastAsia="tr-TR"/>
        </w:rPr>
        <w:t>ifade eder.</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noProof w:val="0"/>
          <w:sz w:val="24"/>
          <w:szCs w:val="24"/>
          <w:lang w:eastAsia="tr-TR"/>
        </w:rPr>
        <w:t>(2) Bu Usul ve Esaslarda geçmekle birlikte tanımlanmamış diğer terim ve kavramlar ilgili mevzuattaki anlam ve kapsama sahiptir.</w:t>
      </w:r>
    </w:p>
    <w:p w:rsidR="00867D47" w:rsidRPr="00867D47" w:rsidRDefault="00867D47" w:rsidP="00867D47">
      <w:pPr>
        <w:spacing w:after="0" w:line="240" w:lineRule="auto"/>
        <w:ind w:left="720"/>
        <w:jc w:val="center"/>
        <w:rPr>
          <w:rFonts w:ascii="Times New Roman" w:eastAsia="Times New Roman" w:hAnsi="Times New Roman" w:cs="Times New Roman"/>
          <w:b/>
          <w:noProof w:val="0"/>
          <w:sz w:val="24"/>
          <w:szCs w:val="24"/>
          <w:lang w:eastAsia="en-US"/>
        </w:rPr>
      </w:pPr>
    </w:p>
    <w:p w:rsidR="00867D47" w:rsidRPr="00867D47" w:rsidRDefault="00867D47" w:rsidP="00867D47">
      <w:pPr>
        <w:spacing w:after="0" w:line="240" w:lineRule="auto"/>
        <w:jc w:val="center"/>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İKİNCİ BÖLÜM</w:t>
      </w:r>
    </w:p>
    <w:p w:rsidR="00867D47" w:rsidRPr="00867D47" w:rsidRDefault="00867D47" w:rsidP="00867D47">
      <w:pPr>
        <w:spacing w:after="0" w:line="240" w:lineRule="auto"/>
        <w:ind w:firstLine="708"/>
        <w:jc w:val="center"/>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Uygunluk Belgesi Başvuru Süreci ve Uygunluk Belgesinin Düzenlenmesi</w:t>
      </w:r>
    </w:p>
    <w:p w:rsidR="00867D47" w:rsidRPr="00867D47" w:rsidRDefault="00867D47" w:rsidP="00867D47">
      <w:pPr>
        <w:spacing w:after="0" w:line="240" w:lineRule="auto"/>
        <w:ind w:firstLine="708"/>
        <w:jc w:val="both"/>
        <w:rPr>
          <w:rFonts w:ascii="Times New Roman" w:eastAsia="Times New Roman" w:hAnsi="Times New Roman" w:cs="Times New Roman"/>
          <w:b/>
          <w:noProof w:val="0"/>
          <w:sz w:val="24"/>
          <w:szCs w:val="24"/>
          <w:lang w:eastAsia="tr-TR"/>
        </w:rPr>
      </w:pPr>
    </w:p>
    <w:p w:rsidR="00867D47" w:rsidRPr="00867D47" w:rsidRDefault="00867D47" w:rsidP="00867D47">
      <w:pPr>
        <w:spacing w:after="0" w:line="240" w:lineRule="auto"/>
        <w:ind w:firstLine="708"/>
        <w:jc w:val="both"/>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 xml:space="preserve">Sayaç uygunluk yazısı başvurusu </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b/>
          <w:noProof w:val="0"/>
          <w:sz w:val="24"/>
          <w:szCs w:val="24"/>
          <w:lang w:eastAsia="tr-TR"/>
        </w:rPr>
        <w:t>Madde 5</w:t>
      </w:r>
      <w:r w:rsidRPr="00867D47">
        <w:rPr>
          <w:rFonts w:ascii="Times New Roman" w:eastAsia="Times New Roman" w:hAnsi="Times New Roman" w:cs="Times New Roman"/>
          <w:noProof w:val="0"/>
          <w:sz w:val="24"/>
          <w:szCs w:val="24"/>
          <w:lang w:eastAsia="tr-TR"/>
        </w:rPr>
        <w:t xml:space="preserve">– (1) TEİAŞ tarafından düzenlenecek talep tarafı yedeği tedarik sürecine katılmak isteyen tüzel kişinin, hizmete katılacak her bir tüketim tesisi için ayrı olmak üzere, mevcut sayacın uygunluğunun tespit edilmesi için TEİAŞ’a başvuruda bulunması gerekmektedir. Bu kapsamda TEİAŞ tarafından işletilecek olan izleme sistemine veri sağlamak üzere, talep tarafı yedeği hizmetini sağlayacak olan tüketim tesisi sahibi tüzel kişilerin sayaçta mevcut RS485, RS232, pulse giriş çıkışı, dijital veya analog veya diğer çıkışlar vasıtası ile bağlantısının uygun olup olmadığına dair sayaç uygunluk yazısı, TEİAŞ tarafından başvurunun TEİAŞ’a ulaştığı tarihi takip eden en geç on iş günü içerisinde verilir. </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noProof w:val="0"/>
          <w:sz w:val="24"/>
          <w:szCs w:val="24"/>
          <w:lang w:eastAsia="tr-TR"/>
        </w:rPr>
        <w:t>(2) Birinci fıkra kapsamında mevcut sayacı uygun olmadığı tespit edilen tüketim tesisi için, TEİAŞ’a başvurulmak suretiyle, sayaç tahsis ve kurulum ücreti ilgili tüketim tesisine sahip olan tüzel kişi tarafından karşılanmak üzere, birinci fıkra hükümlerine ve ilgili mevzuat kurallarına uygun yeni bir sayacın kurulumunu talep edilebilir. İlgili başvurunun TEİAŞ’a ulaştığı tarihten itibaren en geç on iş günü içerisinde, yeni sayaç kurulumu TEİAŞ tarafından gerçekleştirilir ve sayaç uygunluk yazısı ilgili tüzel kişiye verilir.</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p>
    <w:p w:rsidR="00867D47" w:rsidRPr="00867D47" w:rsidRDefault="00867D47" w:rsidP="00867D47">
      <w:pPr>
        <w:spacing w:after="0" w:line="240" w:lineRule="auto"/>
        <w:ind w:firstLine="708"/>
        <w:jc w:val="both"/>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Uygunluk belgesi başvurusu ile başvuruların değerlendirilmesi</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b/>
          <w:noProof w:val="0"/>
          <w:sz w:val="24"/>
          <w:szCs w:val="24"/>
          <w:lang w:eastAsia="tr-TR"/>
        </w:rPr>
        <w:t>Madde 6</w:t>
      </w:r>
      <w:r w:rsidRPr="00867D47">
        <w:rPr>
          <w:rFonts w:ascii="Times New Roman" w:eastAsia="Times New Roman" w:hAnsi="Times New Roman" w:cs="Times New Roman"/>
          <w:noProof w:val="0"/>
          <w:sz w:val="24"/>
          <w:szCs w:val="24"/>
          <w:lang w:eastAsia="tr-TR"/>
        </w:rPr>
        <w:t>– (1) Talep tarafı yedeği hizmetine ilişkin tedarik sürecine katılmak isteyen tüketim tesisi sahibi tüzel kişiler, uygunluk belgesi almak üzere;</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lastRenderedPageBreak/>
        <w:t>a) Beşinci madde kapsamında TEİAŞ’tan alınmış olun sayaç uygunluk yazısı,</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b) Sistem kullanım anlaşmasının (SKA) bir örneği,</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c) TEİAŞ ile talep tarafı yedeği hizmeti vermek üzere yan hizmet anlaşması imzalanması halinde; TPYS üzerinden tüketim tesisine gönderilen kısıntı talimatlarının takip edilmesi amacıyla bir operasyon merkezi kurulacağına, operasyon merkezinde talep tarafı yedeği hizmeti kapsamında TEİAŞ ile iletişim kurmak üzere yetkilendirilmiş bir asil bir yedek olmak üzere en az iki personelin görevlendirileceğine ve alınan talimatların görevli personel tarafından TPYS üzerinden doğrulanacağına dair taahhütname,</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Calibri" w:hAnsi="Times New Roman" w:cs="Times New Roman"/>
          <w:noProof w:val="0"/>
          <w:sz w:val="24"/>
          <w:szCs w:val="24"/>
          <w:lang w:eastAsia="tr-TR"/>
        </w:rPr>
        <w:t xml:space="preserve">ç) TEİAŞ ile talep tarafı yedeği hizmeti vermek üzere yan hizmet anlaşması imzalanması halinde; tüketim tesisinde mevcut tüm sistem kayıtlarının, ilgili yan hizmet anlaşmasının sona ereceği tarihi takip eden en az iki yıl süre ile saklanmasına, yedeklenmesine ve TEİAŞ’ın talebi üzerine tüm kayıtların TEİAŞ’a sunulabileceğine dair taahhütname </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noProof w:val="0"/>
          <w:sz w:val="24"/>
          <w:szCs w:val="24"/>
          <w:lang w:eastAsia="tr-TR"/>
        </w:rPr>
        <w:t>ile birlikte TEİAŞ’a başvurur.</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noProof w:val="0"/>
          <w:sz w:val="24"/>
          <w:szCs w:val="24"/>
          <w:lang w:eastAsia="tr-TR"/>
        </w:rPr>
        <w:t xml:space="preserve">(2) Uygunluk belgesi almak üzere, birinci fıkrada belirtilen belgeler ile birlikte TEİAŞ’a başvurulması halinde; TEİAŞ başvuruyu takip eden en geç beş iş günü içerisinde başvuruya ilişkin değerlendirmeyi sonuçlandırır. </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noProof w:val="0"/>
          <w:sz w:val="24"/>
          <w:szCs w:val="24"/>
          <w:lang w:eastAsia="tr-TR"/>
        </w:rPr>
        <w:t xml:space="preserve">(3) Uygunluk belgesi başvurusu kapsamında; birinci fıkrada sayılan belgelerin eksiksiz olması, TEİAŞ ile başvuru sahibi tüzel kişi arasındaki SKA’nın yürürlükte olması ve ilgili tüzel kişinin SKA kapsamındaki teminatının eksik olmaması koşuluyla, ilgili başvuru TEİAŞ tarafından kabul edilir. </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noProof w:val="0"/>
          <w:sz w:val="24"/>
          <w:szCs w:val="24"/>
          <w:lang w:eastAsia="tr-TR"/>
        </w:rPr>
        <w:t xml:space="preserve">(4) Uygunluk belgesi başvurusuna ilişkin olarak; birinci fıkrada sayılan belgelerin eksik olması halinde, eksik belgeler başvuru sahibine birinci fıkrada yazılan süre içerisinde bildirilerek, eksik belgelerin en geç beş iş günü içerisinde tamamlanması istenir. Bu süre içerisinde eksik belgelerin tamamlanmaması halinde, başvuru reddedilmiş sayılarak, bu durum başvuru sahibine bildirilir. </w:t>
      </w:r>
    </w:p>
    <w:p w:rsidR="00867D47" w:rsidRPr="00867D47" w:rsidRDefault="00867D47" w:rsidP="00867D47">
      <w:pPr>
        <w:spacing w:after="0" w:line="240" w:lineRule="auto"/>
        <w:ind w:left="709"/>
        <w:contextualSpacing/>
        <w:jc w:val="both"/>
        <w:rPr>
          <w:rFonts w:ascii="Times New Roman" w:eastAsia="Times New Roman" w:hAnsi="Times New Roman" w:cs="Times New Roman"/>
          <w:noProof w:val="0"/>
          <w:sz w:val="24"/>
          <w:szCs w:val="24"/>
          <w:lang w:eastAsia="tr-TR"/>
        </w:rPr>
      </w:pPr>
    </w:p>
    <w:p w:rsidR="00867D47" w:rsidRPr="00867D47" w:rsidRDefault="00867D47" w:rsidP="00867D47">
      <w:pPr>
        <w:spacing w:after="0" w:line="240" w:lineRule="auto"/>
        <w:ind w:firstLine="708"/>
        <w:jc w:val="both"/>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 xml:space="preserve">Uygunluk belgesinin düzenlenmesi </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b/>
          <w:noProof w:val="0"/>
          <w:sz w:val="24"/>
          <w:szCs w:val="24"/>
          <w:lang w:eastAsia="tr-TR"/>
        </w:rPr>
        <w:t>Madde 7</w:t>
      </w:r>
      <w:r w:rsidRPr="00867D47">
        <w:rPr>
          <w:rFonts w:ascii="Times New Roman" w:eastAsia="Times New Roman" w:hAnsi="Times New Roman" w:cs="Times New Roman"/>
          <w:noProof w:val="0"/>
          <w:sz w:val="24"/>
          <w:szCs w:val="24"/>
          <w:lang w:eastAsia="tr-TR"/>
        </w:rPr>
        <w:t>– (1) Uygunluk belgesi, talep tarafı yedeği hizmeti kapsamında TEİAŞ tarafından yürütülecek tedarik sürecine katılmak isteyen tüketim sahibi tüzel kişi tarafından, altıncı maddenin birinci fıkrası kapsamında TEİAŞ’a yapılan başvurunun, altıncı maddenin üçüncü fıkrası kapsamında TEİAŞ tarafından kabul edilmesi halinde; başvuruya esas her bir tüketim tesisi için ayrı olacak şekilde, TEİAŞ tarafından düzenlenerek başvuru sahibine verilir.</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noProof w:val="0"/>
          <w:sz w:val="24"/>
          <w:szCs w:val="24"/>
          <w:lang w:eastAsia="tr-TR"/>
        </w:rPr>
        <w:t xml:space="preserve"> (</w:t>
      </w:r>
      <w:r w:rsidR="00A14FE4">
        <w:rPr>
          <w:rFonts w:ascii="Times New Roman" w:eastAsia="Times New Roman" w:hAnsi="Times New Roman" w:cs="Times New Roman"/>
          <w:noProof w:val="0"/>
          <w:sz w:val="24"/>
          <w:szCs w:val="24"/>
          <w:lang w:eastAsia="tr-TR"/>
        </w:rPr>
        <w:t>2</w:t>
      </w:r>
      <w:r w:rsidRPr="00867D47">
        <w:rPr>
          <w:rFonts w:ascii="Times New Roman" w:eastAsia="Times New Roman" w:hAnsi="Times New Roman" w:cs="Times New Roman"/>
          <w:noProof w:val="0"/>
          <w:sz w:val="24"/>
          <w:szCs w:val="24"/>
          <w:lang w:eastAsia="tr-TR"/>
        </w:rPr>
        <w:t xml:space="preserve">) Uygunluk belgesi almak üzere TEİAŞ’a başvuruda bulunan tüketim tesisi sahibi tüzel kişiden, belgenin düzenlenmesine ilişkin herhangi bir bedel talep edilmez. </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noProof w:val="0"/>
          <w:sz w:val="24"/>
          <w:szCs w:val="24"/>
          <w:lang w:eastAsia="tr-TR"/>
        </w:rPr>
        <w:t>(</w:t>
      </w:r>
      <w:r w:rsidR="00A14FE4">
        <w:rPr>
          <w:rFonts w:ascii="Times New Roman" w:eastAsia="Times New Roman" w:hAnsi="Times New Roman" w:cs="Times New Roman"/>
          <w:noProof w:val="0"/>
          <w:sz w:val="24"/>
          <w:szCs w:val="24"/>
          <w:lang w:eastAsia="tr-TR"/>
        </w:rPr>
        <w:t>3</w:t>
      </w:r>
      <w:r w:rsidRPr="00867D47">
        <w:rPr>
          <w:rFonts w:ascii="Times New Roman" w:eastAsia="Times New Roman" w:hAnsi="Times New Roman" w:cs="Times New Roman"/>
          <w:noProof w:val="0"/>
          <w:sz w:val="24"/>
          <w:szCs w:val="24"/>
          <w:lang w:eastAsia="tr-TR"/>
        </w:rPr>
        <w:t>) Uygunluk belgesi süresiz olarak verilir. Uygunluk belgesinde yer alan tüketim tesisinin, adına kayıtlı olan uzlaştırmaya esas sayacın değişmesi halinde, ilgili tüketim tesisine ilişkin uygunluk belgesi yenilenir.</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noProof w:val="0"/>
          <w:sz w:val="24"/>
          <w:szCs w:val="24"/>
          <w:lang w:eastAsia="tr-TR"/>
        </w:rPr>
        <w:t>(</w:t>
      </w:r>
      <w:r w:rsidR="00A14FE4">
        <w:rPr>
          <w:rFonts w:ascii="Times New Roman" w:eastAsia="Times New Roman" w:hAnsi="Times New Roman" w:cs="Times New Roman"/>
          <w:noProof w:val="0"/>
          <w:sz w:val="24"/>
          <w:szCs w:val="24"/>
          <w:lang w:eastAsia="tr-TR"/>
        </w:rPr>
        <w:t>4</w:t>
      </w:r>
      <w:r w:rsidRPr="00867D47">
        <w:rPr>
          <w:rFonts w:ascii="Times New Roman" w:eastAsia="Times New Roman" w:hAnsi="Times New Roman" w:cs="Times New Roman"/>
          <w:noProof w:val="0"/>
          <w:sz w:val="24"/>
          <w:szCs w:val="24"/>
          <w:lang w:eastAsia="tr-TR"/>
        </w:rPr>
        <w:t xml:space="preserve">) Uygunluk belgesine sahip bir tüketim tesisi için, altıncı maddenin birinci ve üçüncü fıkralarında yer alan şartlardan bir veya birkaçının ortadan kalkması ve/veya söz konusu tüketim tesisine sahip olan tüzel kişi tarafından ilgili yan hizmet anlaşmasından doğan borçlarının süresinde ödenmemesi halinde, uygunluk belgesi TEİAŞ tarafından iptal edilir.  </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p>
    <w:p w:rsidR="00867D47" w:rsidRPr="00867D47" w:rsidRDefault="00A14FE4" w:rsidP="00867D47">
      <w:pPr>
        <w:spacing w:after="0" w:line="240" w:lineRule="auto"/>
        <w:jc w:val="center"/>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t>ÜÇ</w:t>
      </w:r>
      <w:r w:rsidR="00867D47" w:rsidRPr="00867D47">
        <w:rPr>
          <w:rFonts w:ascii="Times New Roman" w:eastAsia="Times New Roman" w:hAnsi="Times New Roman" w:cs="Times New Roman"/>
          <w:b/>
          <w:noProof w:val="0"/>
          <w:sz w:val="24"/>
          <w:szCs w:val="24"/>
          <w:lang w:eastAsia="tr-TR"/>
        </w:rPr>
        <w:t>ÜNCÜ BÖLÜM</w:t>
      </w:r>
    </w:p>
    <w:p w:rsidR="00867D47" w:rsidRPr="00867D47" w:rsidRDefault="00867D47" w:rsidP="00867D47">
      <w:pPr>
        <w:keepNext/>
        <w:spacing w:after="0" w:line="240" w:lineRule="auto"/>
        <w:jc w:val="center"/>
        <w:outlineLvl w:val="1"/>
        <w:rPr>
          <w:rFonts w:ascii="Times New Roman" w:eastAsia="Calibri" w:hAnsi="Times New Roman" w:cs="Times New Roman"/>
          <w:b/>
          <w:bCs/>
          <w:noProof w:val="0"/>
          <w:sz w:val="24"/>
          <w:szCs w:val="24"/>
          <w:lang w:eastAsia="en-US"/>
        </w:rPr>
      </w:pPr>
      <w:r w:rsidRPr="00867D47">
        <w:rPr>
          <w:rFonts w:ascii="Times New Roman" w:eastAsia="Calibri" w:hAnsi="Times New Roman" w:cs="Times New Roman"/>
          <w:b/>
          <w:bCs/>
          <w:noProof w:val="0"/>
          <w:sz w:val="24"/>
          <w:szCs w:val="24"/>
          <w:lang w:eastAsia="en-US"/>
        </w:rPr>
        <w:t>Yürürlük ve Yürütme</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p>
    <w:p w:rsidR="00867D47" w:rsidRPr="00867D47" w:rsidRDefault="00867D47" w:rsidP="00867D47">
      <w:pPr>
        <w:spacing w:after="0" w:line="240" w:lineRule="auto"/>
        <w:ind w:firstLine="708"/>
        <w:jc w:val="both"/>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Yürürlük</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b/>
          <w:noProof w:val="0"/>
          <w:sz w:val="24"/>
          <w:szCs w:val="24"/>
          <w:lang w:eastAsia="tr-TR"/>
        </w:rPr>
        <w:t>Madde 8</w:t>
      </w:r>
      <w:r w:rsidRPr="00867D47">
        <w:rPr>
          <w:rFonts w:ascii="Times New Roman" w:eastAsia="Times New Roman" w:hAnsi="Times New Roman" w:cs="Times New Roman"/>
          <w:noProof w:val="0"/>
          <w:sz w:val="24"/>
          <w:szCs w:val="24"/>
          <w:lang w:eastAsia="tr-TR"/>
        </w:rPr>
        <w:t xml:space="preserve">- (1) Bu Usul ve Esaslar yayımı tarihinde yürürlüğe girer. </w:t>
      </w:r>
    </w:p>
    <w:p w:rsidR="00867D47" w:rsidRPr="00867D47" w:rsidRDefault="00867D47" w:rsidP="00867D47">
      <w:pPr>
        <w:spacing w:after="0" w:line="240" w:lineRule="auto"/>
        <w:ind w:left="360"/>
        <w:contextualSpacing/>
        <w:jc w:val="both"/>
        <w:rPr>
          <w:rFonts w:ascii="Times New Roman" w:eastAsia="Times New Roman" w:hAnsi="Times New Roman" w:cs="Times New Roman"/>
          <w:noProof w:val="0"/>
          <w:lang w:eastAsia="tr-TR"/>
        </w:rPr>
      </w:pPr>
    </w:p>
    <w:p w:rsidR="00867D47" w:rsidRPr="00867D47" w:rsidRDefault="00867D47" w:rsidP="00867D47">
      <w:pPr>
        <w:spacing w:after="0" w:line="240" w:lineRule="auto"/>
        <w:ind w:firstLine="708"/>
        <w:jc w:val="both"/>
        <w:rPr>
          <w:rFonts w:ascii="Times New Roman" w:eastAsia="Times New Roman" w:hAnsi="Times New Roman" w:cs="Times New Roman"/>
          <w:b/>
          <w:noProof w:val="0"/>
          <w:sz w:val="24"/>
          <w:szCs w:val="24"/>
          <w:lang w:eastAsia="tr-TR"/>
        </w:rPr>
      </w:pPr>
      <w:r w:rsidRPr="00867D47">
        <w:rPr>
          <w:rFonts w:ascii="Times New Roman" w:eastAsia="Times New Roman" w:hAnsi="Times New Roman" w:cs="Times New Roman"/>
          <w:b/>
          <w:noProof w:val="0"/>
          <w:sz w:val="24"/>
          <w:szCs w:val="24"/>
          <w:lang w:eastAsia="tr-TR"/>
        </w:rPr>
        <w:t>Yürütme</w:t>
      </w:r>
    </w:p>
    <w:p w:rsidR="00867D47" w:rsidRPr="00867D47" w:rsidRDefault="00867D47" w:rsidP="00867D47">
      <w:pPr>
        <w:spacing w:after="0" w:line="240" w:lineRule="auto"/>
        <w:ind w:firstLine="708"/>
        <w:jc w:val="both"/>
        <w:rPr>
          <w:rFonts w:ascii="Times New Roman" w:eastAsia="Times New Roman" w:hAnsi="Times New Roman" w:cs="Times New Roman"/>
          <w:noProof w:val="0"/>
          <w:sz w:val="24"/>
          <w:szCs w:val="24"/>
          <w:lang w:eastAsia="tr-TR"/>
        </w:rPr>
      </w:pPr>
      <w:r w:rsidRPr="00867D47">
        <w:rPr>
          <w:rFonts w:ascii="Times New Roman" w:eastAsia="Times New Roman" w:hAnsi="Times New Roman" w:cs="Times New Roman"/>
          <w:b/>
          <w:noProof w:val="0"/>
          <w:sz w:val="24"/>
          <w:szCs w:val="24"/>
          <w:lang w:eastAsia="tr-TR"/>
        </w:rPr>
        <w:t>Madde  9</w:t>
      </w:r>
      <w:r w:rsidRPr="00867D47">
        <w:rPr>
          <w:rFonts w:ascii="Times New Roman" w:eastAsia="Times New Roman" w:hAnsi="Times New Roman" w:cs="Times New Roman"/>
          <w:noProof w:val="0"/>
          <w:sz w:val="24"/>
          <w:szCs w:val="24"/>
          <w:lang w:eastAsia="tr-TR"/>
        </w:rPr>
        <w:t>- (1) Bu Usul ve Esaslar hükümlerini Başkan yürütür.</w:t>
      </w:r>
    </w:p>
    <w:p w:rsidR="00144477" w:rsidRDefault="00144477" w:rsidP="00144477">
      <w:pPr>
        <w:spacing w:after="0" w:line="240" w:lineRule="auto"/>
        <w:contextualSpacing/>
        <w:jc w:val="center"/>
        <w:rPr>
          <w:rFonts w:ascii="Times New Roman" w:hAnsi="Times New Roman" w:cs="Times New Roman"/>
          <w:sz w:val="24"/>
          <w:szCs w:val="24"/>
        </w:rPr>
      </w:pPr>
    </w:p>
    <w:p w:rsidR="00144477" w:rsidRPr="00144477" w:rsidRDefault="00144477" w:rsidP="00144477">
      <w:pPr>
        <w:tabs>
          <w:tab w:val="left" w:pos="4056"/>
        </w:tabs>
        <w:rPr>
          <w:rFonts w:ascii="Times New Roman" w:hAnsi="Times New Roman" w:cs="Times New Roman"/>
          <w:sz w:val="24"/>
          <w:szCs w:val="24"/>
        </w:rPr>
      </w:pPr>
      <w:r>
        <w:rPr>
          <w:rFonts w:ascii="Times New Roman" w:hAnsi="Times New Roman" w:cs="Times New Roman"/>
          <w:sz w:val="24"/>
          <w:szCs w:val="24"/>
        </w:rPr>
        <w:tab/>
      </w:r>
    </w:p>
    <w:sectPr w:rsidR="00144477" w:rsidRPr="00144477" w:rsidSect="00026EF9">
      <w:headerReference w:type="default" r:id="rId8"/>
      <w:footerReference w:type="default" r:id="rId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56" w:rsidRDefault="00791556" w:rsidP="00916318">
      <w:pPr>
        <w:spacing w:after="0" w:line="240" w:lineRule="auto"/>
      </w:pPr>
      <w:r>
        <w:separator/>
      </w:r>
    </w:p>
  </w:endnote>
  <w:endnote w:type="continuationSeparator" w:id="0">
    <w:p w:rsidR="00791556" w:rsidRDefault="00791556" w:rsidP="0091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91913"/>
      <w:docPartObj>
        <w:docPartGallery w:val="Page Numbers (Bottom of Page)"/>
        <w:docPartUnique/>
      </w:docPartObj>
    </w:sdtPr>
    <w:sdtEndPr/>
    <w:sdtContent>
      <w:p w:rsidR="00D37B4F" w:rsidRDefault="00D37B4F">
        <w:pPr>
          <w:pStyle w:val="AltBilgi"/>
          <w:jc w:val="right"/>
        </w:pPr>
        <w:r>
          <w:fldChar w:fldCharType="begin"/>
        </w:r>
        <w:r>
          <w:instrText>PAGE   \* MERGEFORMAT</w:instrText>
        </w:r>
        <w:r>
          <w:fldChar w:fldCharType="separate"/>
        </w:r>
        <w:r w:rsidR="00000242">
          <w:t>1</w:t>
        </w:r>
        <w:r>
          <w:fldChar w:fldCharType="end"/>
        </w:r>
      </w:p>
    </w:sdtContent>
  </w:sdt>
  <w:p w:rsidR="00AC63BC" w:rsidRPr="00026EF9" w:rsidRDefault="00AC63BC" w:rsidP="00026EF9">
    <w:pPr>
      <w:pStyle w:val="AltBilgi"/>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56" w:rsidRDefault="00791556" w:rsidP="00916318">
      <w:pPr>
        <w:spacing w:after="0" w:line="240" w:lineRule="auto"/>
      </w:pPr>
      <w:r>
        <w:separator/>
      </w:r>
    </w:p>
  </w:footnote>
  <w:footnote w:type="continuationSeparator" w:id="0">
    <w:p w:rsidR="00791556" w:rsidRDefault="00791556" w:rsidP="0091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D2" w:rsidRDefault="00A473D2">
    <w:pPr>
      <w:pStyle w:val="stBilgi"/>
    </w:pPr>
    <w:r w:rsidRPr="00A473D2">
      <w:rPr>
        <w:rFonts w:ascii="Segoe UI" w:hAnsi="Segoe UI" w:cs="Segoe UI"/>
        <w:color w:val="000000" w:themeColor="text1"/>
        <w:sz w:val="20"/>
        <w:szCs w:val="20"/>
        <w:highlight w:val="yellow"/>
        <w:u w:val="single"/>
        <w:shd w:val="clear" w:color="auto" w:fill="8C1826"/>
      </w:rPr>
      <w:t>14 Ağustos 2021 Tarihli ve 31568 Sayılı Resmî Gazete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A57"/>
    <w:multiLevelType w:val="hybridMultilevel"/>
    <w:tmpl w:val="EB36179E"/>
    <w:lvl w:ilvl="0" w:tplc="5282A140">
      <w:start w:val="1"/>
      <w:numFmt w:val="lowerLetter"/>
      <w:lvlText w:val="%1)"/>
      <w:lvlJc w:val="left"/>
      <w:pPr>
        <w:ind w:left="1428" w:hanging="360"/>
      </w:pPr>
      <w:rPr>
        <w:b/>
        <w:color w:val="auto"/>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 w15:restartNumberingAfterBreak="0">
    <w:nsid w:val="2B201A6B"/>
    <w:multiLevelType w:val="hybridMultilevel"/>
    <w:tmpl w:val="A81254AE"/>
    <w:lvl w:ilvl="0" w:tplc="1F405C40">
      <w:start w:val="1"/>
      <w:numFmt w:val="decimal"/>
      <w:lvlText w:val="%1."/>
      <w:lvlJc w:val="left"/>
      <w:pPr>
        <w:ind w:left="928"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E72878BA">
      <w:start w:val="1"/>
      <w:numFmt w:val="decimal"/>
      <w:lvlText w:val="%4."/>
      <w:lvlJc w:val="left"/>
      <w:pPr>
        <w:ind w:left="3088" w:hanging="360"/>
      </w:pPr>
      <w:rPr>
        <w:b/>
      </w:rPr>
    </w:lvl>
    <w:lvl w:ilvl="4" w:tplc="041F0019">
      <w:start w:val="1"/>
      <w:numFmt w:val="lowerLetter"/>
      <w:lvlText w:val="%5."/>
      <w:lvlJc w:val="left"/>
      <w:pPr>
        <w:ind w:left="3808" w:hanging="360"/>
      </w:pPr>
    </w:lvl>
    <w:lvl w:ilvl="5" w:tplc="041F001B">
      <w:start w:val="1"/>
      <w:numFmt w:val="lowerRoman"/>
      <w:lvlText w:val="%6."/>
      <w:lvlJc w:val="right"/>
      <w:pPr>
        <w:ind w:left="4528" w:hanging="180"/>
      </w:pPr>
    </w:lvl>
    <w:lvl w:ilvl="6" w:tplc="041F000F">
      <w:start w:val="1"/>
      <w:numFmt w:val="decimal"/>
      <w:lvlText w:val="%7."/>
      <w:lvlJc w:val="left"/>
      <w:pPr>
        <w:ind w:left="5248" w:hanging="360"/>
      </w:pPr>
    </w:lvl>
    <w:lvl w:ilvl="7" w:tplc="041F0019">
      <w:start w:val="1"/>
      <w:numFmt w:val="lowerLetter"/>
      <w:lvlText w:val="%8."/>
      <w:lvlJc w:val="left"/>
      <w:pPr>
        <w:ind w:left="5968" w:hanging="360"/>
      </w:pPr>
    </w:lvl>
    <w:lvl w:ilvl="8" w:tplc="041F001B">
      <w:start w:val="1"/>
      <w:numFmt w:val="lowerRoman"/>
      <w:lvlText w:val="%9."/>
      <w:lvlJc w:val="right"/>
      <w:pPr>
        <w:ind w:left="6688" w:hanging="180"/>
      </w:pPr>
    </w:lvl>
  </w:abstractNum>
  <w:abstractNum w:abstractNumId="2" w15:restartNumberingAfterBreak="0">
    <w:nsid w:val="32B7426B"/>
    <w:multiLevelType w:val="hybridMultilevel"/>
    <w:tmpl w:val="35B4AB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42201AD5"/>
    <w:multiLevelType w:val="hybridMultilevel"/>
    <w:tmpl w:val="47FAC020"/>
    <w:lvl w:ilvl="0" w:tplc="AF247C70">
      <w:start w:val="1"/>
      <w:numFmt w:val="decimal"/>
      <w:lvlText w:val="(%1)"/>
      <w:lvlJc w:val="left"/>
      <w:pPr>
        <w:ind w:left="1159" w:hanging="390"/>
      </w:pPr>
      <w:rPr>
        <w:rFonts w:hint="default"/>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4" w15:restartNumberingAfterBreak="0">
    <w:nsid w:val="495B638E"/>
    <w:multiLevelType w:val="hybridMultilevel"/>
    <w:tmpl w:val="F232F738"/>
    <w:lvl w:ilvl="0" w:tplc="CCB0F4FC">
      <w:start w:val="1"/>
      <w:numFmt w:val="lowerLetter"/>
      <w:lvlText w:val="%1)"/>
      <w:lvlJc w:val="left"/>
      <w:pPr>
        <w:ind w:left="7165" w:hanging="360"/>
      </w:pPr>
      <w:rPr>
        <w:b/>
      </w:rPr>
    </w:lvl>
    <w:lvl w:ilvl="1" w:tplc="041F0019">
      <w:start w:val="1"/>
      <w:numFmt w:val="lowerLetter"/>
      <w:lvlText w:val="%2."/>
      <w:lvlJc w:val="left"/>
      <w:pPr>
        <w:ind w:left="7885" w:hanging="360"/>
      </w:pPr>
    </w:lvl>
    <w:lvl w:ilvl="2" w:tplc="041F001B">
      <w:start w:val="1"/>
      <w:numFmt w:val="lowerRoman"/>
      <w:lvlText w:val="%3."/>
      <w:lvlJc w:val="right"/>
      <w:pPr>
        <w:ind w:left="8605" w:hanging="180"/>
      </w:pPr>
    </w:lvl>
    <w:lvl w:ilvl="3" w:tplc="041F000F">
      <w:start w:val="1"/>
      <w:numFmt w:val="decimal"/>
      <w:lvlText w:val="%4."/>
      <w:lvlJc w:val="left"/>
      <w:pPr>
        <w:ind w:left="9325" w:hanging="360"/>
      </w:pPr>
    </w:lvl>
    <w:lvl w:ilvl="4" w:tplc="041F0019">
      <w:start w:val="1"/>
      <w:numFmt w:val="lowerLetter"/>
      <w:lvlText w:val="%5."/>
      <w:lvlJc w:val="left"/>
      <w:pPr>
        <w:ind w:left="10045" w:hanging="360"/>
      </w:pPr>
    </w:lvl>
    <w:lvl w:ilvl="5" w:tplc="041F001B">
      <w:start w:val="1"/>
      <w:numFmt w:val="lowerRoman"/>
      <w:lvlText w:val="%6."/>
      <w:lvlJc w:val="right"/>
      <w:pPr>
        <w:ind w:left="10765" w:hanging="180"/>
      </w:pPr>
    </w:lvl>
    <w:lvl w:ilvl="6" w:tplc="041F000F">
      <w:start w:val="1"/>
      <w:numFmt w:val="decimal"/>
      <w:lvlText w:val="%7."/>
      <w:lvlJc w:val="left"/>
      <w:pPr>
        <w:ind w:left="11485" w:hanging="360"/>
      </w:pPr>
    </w:lvl>
    <w:lvl w:ilvl="7" w:tplc="041F0019">
      <w:start w:val="1"/>
      <w:numFmt w:val="lowerLetter"/>
      <w:lvlText w:val="%8."/>
      <w:lvlJc w:val="left"/>
      <w:pPr>
        <w:ind w:left="12205" w:hanging="360"/>
      </w:pPr>
    </w:lvl>
    <w:lvl w:ilvl="8" w:tplc="041F001B">
      <w:start w:val="1"/>
      <w:numFmt w:val="lowerRoman"/>
      <w:lvlText w:val="%9."/>
      <w:lvlJc w:val="right"/>
      <w:pPr>
        <w:ind w:left="12925" w:hanging="180"/>
      </w:pPr>
    </w:lvl>
  </w:abstractNum>
  <w:abstractNum w:abstractNumId="5" w15:restartNumberingAfterBreak="0">
    <w:nsid w:val="5EF10540"/>
    <w:multiLevelType w:val="hybridMultilevel"/>
    <w:tmpl w:val="52AC28B2"/>
    <w:lvl w:ilvl="0" w:tplc="B1581E90">
      <w:start w:val="1"/>
      <w:numFmt w:val="bullet"/>
      <w:lvlText w:val="­"/>
      <w:lvlJc w:val="left"/>
      <w:pPr>
        <w:ind w:left="720" w:hanging="360"/>
      </w:pPr>
      <w:rPr>
        <w:rFonts w:ascii="Courier New" w:hAnsi="Courier New" w:cs="Times New Roman" w:hint="default"/>
        <w:b w:val="0"/>
        <w:w w:val="99"/>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7FA413B4"/>
    <w:multiLevelType w:val="hybridMultilevel"/>
    <w:tmpl w:val="8DE8AA12"/>
    <w:lvl w:ilvl="0" w:tplc="282CA05A">
      <w:start w:val="1"/>
      <w:numFmt w:val="decimal"/>
      <w:lvlText w:val="%1."/>
      <w:lvlJc w:val="left"/>
      <w:pPr>
        <w:ind w:left="930" w:hanging="360"/>
      </w:pPr>
      <w:rPr>
        <w:rFonts w:hint="default"/>
        <w:b/>
        <w:sz w:val="28"/>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CA"/>
    <w:rsid w:val="00000242"/>
    <w:rsid w:val="000030AB"/>
    <w:rsid w:val="0000677F"/>
    <w:rsid w:val="00026EF9"/>
    <w:rsid w:val="00030667"/>
    <w:rsid w:val="0004428A"/>
    <w:rsid w:val="000544D8"/>
    <w:rsid w:val="000669D9"/>
    <w:rsid w:val="00070FA5"/>
    <w:rsid w:val="000713BB"/>
    <w:rsid w:val="0008092B"/>
    <w:rsid w:val="000845A8"/>
    <w:rsid w:val="00095CC3"/>
    <w:rsid w:val="000A5366"/>
    <w:rsid w:val="000C6FB9"/>
    <w:rsid w:val="000D23FB"/>
    <w:rsid w:val="000F04F0"/>
    <w:rsid w:val="000F145D"/>
    <w:rsid w:val="00114E87"/>
    <w:rsid w:val="00116AB7"/>
    <w:rsid w:val="001228CA"/>
    <w:rsid w:val="00136445"/>
    <w:rsid w:val="00144477"/>
    <w:rsid w:val="0014608A"/>
    <w:rsid w:val="001518DF"/>
    <w:rsid w:val="00155A83"/>
    <w:rsid w:val="00156875"/>
    <w:rsid w:val="00162A50"/>
    <w:rsid w:val="00163723"/>
    <w:rsid w:val="00165B30"/>
    <w:rsid w:val="00166E2F"/>
    <w:rsid w:val="00170BB2"/>
    <w:rsid w:val="001810B0"/>
    <w:rsid w:val="00182BF3"/>
    <w:rsid w:val="00183CA5"/>
    <w:rsid w:val="00185CE9"/>
    <w:rsid w:val="001913E9"/>
    <w:rsid w:val="001927F9"/>
    <w:rsid w:val="001A1713"/>
    <w:rsid w:val="001A41BF"/>
    <w:rsid w:val="001B456B"/>
    <w:rsid w:val="001B4B19"/>
    <w:rsid w:val="001B51FC"/>
    <w:rsid w:val="001C00AC"/>
    <w:rsid w:val="001C1720"/>
    <w:rsid w:val="001C439F"/>
    <w:rsid w:val="001E164B"/>
    <w:rsid w:val="001E1F1E"/>
    <w:rsid w:val="001F14DC"/>
    <w:rsid w:val="001F63CE"/>
    <w:rsid w:val="0020683C"/>
    <w:rsid w:val="002234FA"/>
    <w:rsid w:val="002310E1"/>
    <w:rsid w:val="00231278"/>
    <w:rsid w:val="00231DB3"/>
    <w:rsid w:val="002377DE"/>
    <w:rsid w:val="00243CF7"/>
    <w:rsid w:val="0025202D"/>
    <w:rsid w:val="00253509"/>
    <w:rsid w:val="00256EF4"/>
    <w:rsid w:val="00261404"/>
    <w:rsid w:val="00273D68"/>
    <w:rsid w:val="002753CC"/>
    <w:rsid w:val="00276925"/>
    <w:rsid w:val="00282928"/>
    <w:rsid w:val="002A3050"/>
    <w:rsid w:val="002A56F5"/>
    <w:rsid w:val="002B3D60"/>
    <w:rsid w:val="002B42D3"/>
    <w:rsid w:val="002B47A0"/>
    <w:rsid w:val="002B4B02"/>
    <w:rsid w:val="002B6B7B"/>
    <w:rsid w:val="002E1C6A"/>
    <w:rsid w:val="002E36F0"/>
    <w:rsid w:val="002E73F4"/>
    <w:rsid w:val="002F6E80"/>
    <w:rsid w:val="003008C0"/>
    <w:rsid w:val="00304C87"/>
    <w:rsid w:val="003113C7"/>
    <w:rsid w:val="00311BFF"/>
    <w:rsid w:val="00313073"/>
    <w:rsid w:val="00320E1F"/>
    <w:rsid w:val="00320ECA"/>
    <w:rsid w:val="00324139"/>
    <w:rsid w:val="00331721"/>
    <w:rsid w:val="00334663"/>
    <w:rsid w:val="003369FB"/>
    <w:rsid w:val="0034227A"/>
    <w:rsid w:val="003500C1"/>
    <w:rsid w:val="0035436B"/>
    <w:rsid w:val="0036101A"/>
    <w:rsid w:val="00382AE2"/>
    <w:rsid w:val="0038330C"/>
    <w:rsid w:val="003906E8"/>
    <w:rsid w:val="00391DA7"/>
    <w:rsid w:val="003A0302"/>
    <w:rsid w:val="003A0B40"/>
    <w:rsid w:val="003A1788"/>
    <w:rsid w:val="003A4331"/>
    <w:rsid w:val="003B24BF"/>
    <w:rsid w:val="003C0730"/>
    <w:rsid w:val="003C07C5"/>
    <w:rsid w:val="003D6798"/>
    <w:rsid w:val="003D781D"/>
    <w:rsid w:val="003E4281"/>
    <w:rsid w:val="003F13F7"/>
    <w:rsid w:val="003F2436"/>
    <w:rsid w:val="00402089"/>
    <w:rsid w:val="00402268"/>
    <w:rsid w:val="00404395"/>
    <w:rsid w:val="0040605B"/>
    <w:rsid w:val="00406D3A"/>
    <w:rsid w:val="0040742D"/>
    <w:rsid w:val="004136EA"/>
    <w:rsid w:val="00413924"/>
    <w:rsid w:val="00425600"/>
    <w:rsid w:val="00431FCD"/>
    <w:rsid w:val="004354B3"/>
    <w:rsid w:val="00435710"/>
    <w:rsid w:val="00436B86"/>
    <w:rsid w:val="00437E4D"/>
    <w:rsid w:val="00444C2B"/>
    <w:rsid w:val="0044780F"/>
    <w:rsid w:val="0045190B"/>
    <w:rsid w:val="004664B3"/>
    <w:rsid w:val="0046734C"/>
    <w:rsid w:val="0047251E"/>
    <w:rsid w:val="00472AA5"/>
    <w:rsid w:val="004769DA"/>
    <w:rsid w:val="004937E2"/>
    <w:rsid w:val="00494939"/>
    <w:rsid w:val="004A35D6"/>
    <w:rsid w:val="004B2B24"/>
    <w:rsid w:val="004B3398"/>
    <w:rsid w:val="004C3E7F"/>
    <w:rsid w:val="004C4556"/>
    <w:rsid w:val="004C6076"/>
    <w:rsid w:val="004C74C2"/>
    <w:rsid w:val="004D3508"/>
    <w:rsid w:val="004D4FD0"/>
    <w:rsid w:val="004D53B8"/>
    <w:rsid w:val="004D7927"/>
    <w:rsid w:val="004E06D8"/>
    <w:rsid w:val="004F1206"/>
    <w:rsid w:val="004F46CD"/>
    <w:rsid w:val="00504858"/>
    <w:rsid w:val="005066DF"/>
    <w:rsid w:val="005211D6"/>
    <w:rsid w:val="0052412B"/>
    <w:rsid w:val="0052445F"/>
    <w:rsid w:val="005247EC"/>
    <w:rsid w:val="00527768"/>
    <w:rsid w:val="0056228D"/>
    <w:rsid w:val="00564DF6"/>
    <w:rsid w:val="005725F6"/>
    <w:rsid w:val="005804C5"/>
    <w:rsid w:val="00587329"/>
    <w:rsid w:val="005A0138"/>
    <w:rsid w:val="005B14E7"/>
    <w:rsid w:val="005B37BF"/>
    <w:rsid w:val="005C3D61"/>
    <w:rsid w:val="005D1B6C"/>
    <w:rsid w:val="005D416B"/>
    <w:rsid w:val="005D5896"/>
    <w:rsid w:val="005E3E01"/>
    <w:rsid w:val="005F180F"/>
    <w:rsid w:val="005F3081"/>
    <w:rsid w:val="005F5728"/>
    <w:rsid w:val="006160C7"/>
    <w:rsid w:val="006247FF"/>
    <w:rsid w:val="00624F0A"/>
    <w:rsid w:val="00641501"/>
    <w:rsid w:val="006431D3"/>
    <w:rsid w:val="00643B21"/>
    <w:rsid w:val="006469A1"/>
    <w:rsid w:val="00656124"/>
    <w:rsid w:val="0066149E"/>
    <w:rsid w:val="00662CE9"/>
    <w:rsid w:val="00663188"/>
    <w:rsid w:val="0066460A"/>
    <w:rsid w:val="00664E9D"/>
    <w:rsid w:val="00670A5F"/>
    <w:rsid w:val="006833FF"/>
    <w:rsid w:val="00683796"/>
    <w:rsid w:val="006843AC"/>
    <w:rsid w:val="006845B0"/>
    <w:rsid w:val="006923B0"/>
    <w:rsid w:val="00692762"/>
    <w:rsid w:val="00693356"/>
    <w:rsid w:val="006A02D2"/>
    <w:rsid w:val="006A3121"/>
    <w:rsid w:val="006A7FD5"/>
    <w:rsid w:val="006B376B"/>
    <w:rsid w:val="006B7560"/>
    <w:rsid w:val="006C04E7"/>
    <w:rsid w:val="006C2DE4"/>
    <w:rsid w:val="006C5D06"/>
    <w:rsid w:val="006D2D42"/>
    <w:rsid w:val="006D522E"/>
    <w:rsid w:val="006E613B"/>
    <w:rsid w:val="006F4BAC"/>
    <w:rsid w:val="006F7F1D"/>
    <w:rsid w:val="0070231B"/>
    <w:rsid w:val="007023C9"/>
    <w:rsid w:val="00702B92"/>
    <w:rsid w:val="00710DFA"/>
    <w:rsid w:val="00727F91"/>
    <w:rsid w:val="0073297D"/>
    <w:rsid w:val="007461DF"/>
    <w:rsid w:val="00760308"/>
    <w:rsid w:val="00760A3B"/>
    <w:rsid w:val="00760EE3"/>
    <w:rsid w:val="00773206"/>
    <w:rsid w:val="00773745"/>
    <w:rsid w:val="00791556"/>
    <w:rsid w:val="007A1A70"/>
    <w:rsid w:val="007A6AB5"/>
    <w:rsid w:val="007B5D6E"/>
    <w:rsid w:val="007C0A96"/>
    <w:rsid w:val="007D3493"/>
    <w:rsid w:val="007E3427"/>
    <w:rsid w:val="007E5EF8"/>
    <w:rsid w:val="007F2BF6"/>
    <w:rsid w:val="0080075C"/>
    <w:rsid w:val="00800973"/>
    <w:rsid w:val="0080172F"/>
    <w:rsid w:val="00805B6F"/>
    <w:rsid w:val="008214E1"/>
    <w:rsid w:val="00826766"/>
    <w:rsid w:val="00830596"/>
    <w:rsid w:val="00834CF5"/>
    <w:rsid w:val="0083553C"/>
    <w:rsid w:val="00841DE3"/>
    <w:rsid w:val="008512B9"/>
    <w:rsid w:val="008570E8"/>
    <w:rsid w:val="00863F53"/>
    <w:rsid w:val="00867D47"/>
    <w:rsid w:val="00872415"/>
    <w:rsid w:val="008839F3"/>
    <w:rsid w:val="008865D7"/>
    <w:rsid w:val="00890EE4"/>
    <w:rsid w:val="008944CD"/>
    <w:rsid w:val="008A28BF"/>
    <w:rsid w:val="008B4ED5"/>
    <w:rsid w:val="008B5CAD"/>
    <w:rsid w:val="008C50EB"/>
    <w:rsid w:val="008D6EA2"/>
    <w:rsid w:val="008E5C0E"/>
    <w:rsid w:val="008E5FCF"/>
    <w:rsid w:val="008F5CC7"/>
    <w:rsid w:val="009040E2"/>
    <w:rsid w:val="00904D13"/>
    <w:rsid w:val="00907CAB"/>
    <w:rsid w:val="00907E0C"/>
    <w:rsid w:val="009109A7"/>
    <w:rsid w:val="0091331B"/>
    <w:rsid w:val="00914E05"/>
    <w:rsid w:val="00916318"/>
    <w:rsid w:val="00920C6D"/>
    <w:rsid w:val="0092702E"/>
    <w:rsid w:val="00927778"/>
    <w:rsid w:val="00950F16"/>
    <w:rsid w:val="00951B0E"/>
    <w:rsid w:val="00956A15"/>
    <w:rsid w:val="0096290C"/>
    <w:rsid w:val="00963976"/>
    <w:rsid w:val="00966D5D"/>
    <w:rsid w:val="00975B22"/>
    <w:rsid w:val="009930BC"/>
    <w:rsid w:val="009A4EF7"/>
    <w:rsid w:val="009A644B"/>
    <w:rsid w:val="009B619D"/>
    <w:rsid w:val="009C56C0"/>
    <w:rsid w:val="009D101F"/>
    <w:rsid w:val="009D33F8"/>
    <w:rsid w:val="009D7B6C"/>
    <w:rsid w:val="009F06DC"/>
    <w:rsid w:val="009F0AFE"/>
    <w:rsid w:val="00A10484"/>
    <w:rsid w:val="00A13F93"/>
    <w:rsid w:val="00A14FE4"/>
    <w:rsid w:val="00A276DE"/>
    <w:rsid w:val="00A41148"/>
    <w:rsid w:val="00A440C4"/>
    <w:rsid w:val="00A473D2"/>
    <w:rsid w:val="00A5666A"/>
    <w:rsid w:val="00A612BF"/>
    <w:rsid w:val="00A63A83"/>
    <w:rsid w:val="00A801CE"/>
    <w:rsid w:val="00A823BA"/>
    <w:rsid w:val="00A83184"/>
    <w:rsid w:val="00A8716D"/>
    <w:rsid w:val="00A90750"/>
    <w:rsid w:val="00A90874"/>
    <w:rsid w:val="00A91D2B"/>
    <w:rsid w:val="00A92FB9"/>
    <w:rsid w:val="00A94D1C"/>
    <w:rsid w:val="00AA324F"/>
    <w:rsid w:val="00AB0A3A"/>
    <w:rsid w:val="00AB0A6D"/>
    <w:rsid w:val="00AB1AB8"/>
    <w:rsid w:val="00AB2932"/>
    <w:rsid w:val="00AC48B9"/>
    <w:rsid w:val="00AC63BC"/>
    <w:rsid w:val="00AE1F59"/>
    <w:rsid w:val="00AE6247"/>
    <w:rsid w:val="00AE7B11"/>
    <w:rsid w:val="00AF2968"/>
    <w:rsid w:val="00AF5A2D"/>
    <w:rsid w:val="00B01F70"/>
    <w:rsid w:val="00B03051"/>
    <w:rsid w:val="00B032EC"/>
    <w:rsid w:val="00B06385"/>
    <w:rsid w:val="00B06A1F"/>
    <w:rsid w:val="00B10481"/>
    <w:rsid w:val="00B11607"/>
    <w:rsid w:val="00B13777"/>
    <w:rsid w:val="00B15047"/>
    <w:rsid w:val="00B1633B"/>
    <w:rsid w:val="00B17264"/>
    <w:rsid w:val="00B22D37"/>
    <w:rsid w:val="00B23AAD"/>
    <w:rsid w:val="00B25C0A"/>
    <w:rsid w:val="00B30B62"/>
    <w:rsid w:val="00B40671"/>
    <w:rsid w:val="00B5534C"/>
    <w:rsid w:val="00B57A40"/>
    <w:rsid w:val="00B6510C"/>
    <w:rsid w:val="00B74FF1"/>
    <w:rsid w:val="00B86234"/>
    <w:rsid w:val="00B94857"/>
    <w:rsid w:val="00B94EEF"/>
    <w:rsid w:val="00BA6392"/>
    <w:rsid w:val="00BC53A0"/>
    <w:rsid w:val="00BC7A94"/>
    <w:rsid w:val="00BD206A"/>
    <w:rsid w:val="00BE3B42"/>
    <w:rsid w:val="00BE3F13"/>
    <w:rsid w:val="00BE6879"/>
    <w:rsid w:val="00BF0C4F"/>
    <w:rsid w:val="00BF20EE"/>
    <w:rsid w:val="00BF7934"/>
    <w:rsid w:val="00BF7A44"/>
    <w:rsid w:val="00C05CB0"/>
    <w:rsid w:val="00C05E04"/>
    <w:rsid w:val="00C070E5"/>
    <w:rsid w:val="00C104FE"/>
    <w:rsid w:val="00C13687"/>
    <w:rsid w:val="00C166A4"/>
    <w:rsid w:val="00C16C6C"/>
    <w:rsid w:val="00C2261D"/>
    <w:rsid w:val="00C22C10"/>
    <w:rsid w:val="00C260D3"/>
    <w:rsid w:val="00C27C53"/>
    <w:rsid w:val="00C316C5"/>
    <w:rsid w:val="00C37662"/>
    <w:rsid w:val="00C44FFF"/>
    <w:rsid w:val="00C60EFB"/>
    <w:rsid w:val="00C652E8"/>
    <w:rsid w:val="00C71CA3"/>
    <w:rsid w:val="00C83707"/>
    <w:rsid w:val="00C860B7"/>
    <w:rsid w:val="00C9543D"/>
    <w:rsid w:val="00CA1990"/>
    <w:rsid w:val="00CA761F"/>
    <w:rsid w:val="00CB1CAA"/>
    <w:rsid w:val="00CB1D7F"/>
    <w:rsid w:val="00CB5755"/>
    <w:rsid w:val="00CC01D4"/>
    <w:rsid w:val="00CC6184"/>
    <w:rsid w:val="00CC735B"/>
    <w:rsid w:val="00CE1D27"/>
    <w:rsid w:val="00CE2CE8"/>
    <w:rsid w:val="00CE4AC8"/>
    <w:rsid w:val="00CE63FC"/>
    <w:rsid w:val="00CF5CA3"/>
    <w:rsid w:val="00CF6E50"/>
    <w:rsid w:val="00D128C4"/>
    <w:rsid w:val="00D14F43"/>
    <w:rsid w:val="00D16C5A"/>
    <w:rsid w:val="00D263DD"/>
    <w:rsid w:val="00D37B4F"/>
    <w:rsid w:val="00D47505"/>
    <w:rsid w:val="00D50FDB"/>
    <w:rsid w:val="00D52D8C"/>
    <w:rsid w:val="00D547D7"/>
    <w:rsid w:val="00D5569D"/>
    <w:rsid w:val="00D6351F"/>
    <w:rsid w:val="00D64C2D"/>
    <w:rsid w:val="00D70D44"/>
    <w:rsid w:val="00D70DC4"/>
    <w:rsid w:val="00D94CC9"/>
    <w:rsid w:val="00D96824"/>
    <w:rsid w:val="00D97359"/>
    <w:rsid w:val="00D97885"/>
    <w:rsid w:val="00DA369F"/>
    <w:rsid w:val="00DA48EF"/>
    <w:rsid w:val="00DA7543"/>
    <w:rsid w:val="00DB02D5"/>
    <w:rsid w:val="00DB6748"/>
    <w:rsid w:val="00DE6A88"/>
    <w:rsid w:val="00DF0A96"/>
    <w:rsid w:val="00DF0B6E"/>
    <w:rsid w:val="00DF3503"/>
    <w:rsid w:val="00E042CD"/>
    <w:rsid w:val="00E0502F"/>
    <w:rsid w:val="00E117BA"/>
    <w:rsid w:val="00E11D34"/>
    <w:rsid w:val="00E12EC9"/>
    <w:rsid w:val="00E152A7"/>
    <w:rsid w:val="00E21EA0"/>
    <w:rsid w:val="00E24262"/>
    <w:rsid w:val="00E30F10"/>
    <w:rsid w:val="00E54E4D"/>
    <w:rsid w:val="00E603E9"/>
    <w:rsid w:val="00E61E58"/>
    <w:rsid w:val="00E803F0"/>
    <w:rsid w:val="00E82891"/>
    <w:rsid w:val="00E835B7"/>
    <w:rsid w:val="00E87EDE"/>
    <w:rsid w:val="00E90457"/>
    <w:rsid w:val="00E91D22"/>
    <w:rsid w:val="00EA1FA5"/>
    <w:rsid w:val="00EA2316"/>
    <w:rsid w:val="00EB3D1A"/>
    <w:rsid w:val="00EC10C1"/>
    <w:rsid w:val="00ED0E69"/>
    <w:rsid w:val="00ED225C"/>
    <w:rsid w:val="00ED3086"/>
    <w:rsid w:val="00ED362F"/>
    <w:rsid w:val="00EE5EDF"/>
    <w:rsid w:val="00EF1775"/>
    <w:rsid w:val="00EF6E2B"/>
    <w:rsid w:val="00F01991"/>
    <w:rsid w:val="00F07443"/>
    <w:rsid w:val="00F15870"/>
    <w:rsid w:val="00F20590"/>
    <w:rsid w:val="00F21090"/>
    <w:rsid w:val="00F337B6"/>
    <w:rsid w:val="00F346B8"/>
    <w:rsid w:val="00F40972"/>
    <w:rsid w:val="00F41854"/>
    <w:rsid w:val="00F465F8"/>
    <w:rsid w:val="00F509B1"/>
    <w:rsid w:val="00F51635"/>
    <w:rsid w:val="00F518C8"/>
    <w:rsid w:val="00F644D6"/>
    <w:rsid w:val="00F674CD"/>
    <w:rsid w:val="00F844A1"/>
    <w:rsid w:val="00F87905"/>
    <w:rsid w:val="00F96B61"/>
    <w:rsid w:val="00FA5380"/>
    <w:rsid w:val="00FB3036"/>
    <w:rsid w:val="00FB44C3"/>
    <w:rsid w:val="00FC04A9"/>
    <w:rsid w:val="00FD3023"/>
    <w:rsid w:val="00FD5486"/>
    <w:rsid w:val="00FE7F1C"/>
    <w:rsid w:val="00FF02F5"/>
    <w:rsid w:val="00FF6E03"/>
    <w:rsid w:val="00FF7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7347F-EC55-43E7-81D6-14A47C2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CA"/>
    <w:rPr>
      <w:rFonts w:eastAsiaTheme="minorEastAsia"/>
      <w:noProof/>
      <w:lang w:eastAsia="zh-TW"/>
    </w:rPr>
  </w:style>
  <w:style w:type="paragraph" w:styleId="Balk1">
    <w:name w:val="heading 1"/>
    <w:basedOn w:val="Normal"/>
    <w:next w:val="Normal"/>
    <w:link w:val="Balk1Char"/>
    <w:qFormat/>
    <w:rsid w:val="00F674CD"/>
    <w:pPr>
      <w:keepNext/>
      <w:spacing w:before="240" w:after="60" w:line="240" w:lineRule="auto"/>
      <w:outlineLvl w:val="0"/>
    </w:pPr>
    <w:rPr>
      <w:rFonts w:ascii="Arial" w:eastAsia="PMingLiU" w:hAnsi="Arial" w:cs="Times New Roman"/>
      <w:b/>
      <w:bCs/>
      <w:noProof w:val="0"/>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0ECA"/>
    <w:pPr>
      <w:spacing w:after="0" w:line="240" w:lineRule="auto"/>
      <w:jc w:val="both"/>
    </w:pPr>
    <w:rPr>
      <w:rFonts w:ascii="Times New Roman" w:hAnsi="Times New Roman"/>
      <w:sz w:val="24"/>
    </w:rPr>
  </w:style>
  <w:style w:type="table" w:styleId="TabloKlavuzu">
    <w:name w:val="Table Grid"/>
    <w:basedOn w:val="NormalTablo"/>
    <w:rsid w:val="00320ECA"/>
    <w:pPr>
      <w:spacing w:after="0" w:line="240" w:lineRule="auto"/>
    </w:pPr>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260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60D3"/>
    <w:rPr>
      <w:rFonts w:ascii="Segoe UI" w:eastAsiaTheme="minorEastAsia" w:hAnsi="Segoe UI" w:cs="Segoe UI"/>
      <w:sz w:val="18"/>
      <w:szCs w:val="18"/>
      <w:lang w:val="en-US" w:eastAsia="zh-TW"/>
    </w:rPr>
  </w:style>
  <w:style w:type="paragraph" w:styleId="stBilgi">
    <w:name w:val="header"/>
    <w:basedOn w:val="Normal"/>
    <w:link w:val="stBilgiChar"/>
    <w:uiPriority w:val="99"/>
    <w:unhideWhenUsed/>
    <w:rsid w:val="0091631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16318"/>
    <w:rPr>
      <w:rFonts w:eastAsiaTheme="minorEastAsia"/>
      <w:noProof/>
      <w:lang w:eastAsia="zh-TW"/>
    </w:rPr>
  </w:style>
  <w:style w:type="paragraph" w:styleId="AltBilgi">
    <w:name w:val="footer"/>
    <w:basedOn w:val="Normal"/>
    <w:link w:val="AltBilgiChar"/>
    <w:uiPriority w:val="99"/>
    <w:unhideWhenUsed/>
    <w:rsid w:val="0091631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16318"/>
    <w:rPr>
      <w:rFonts w:eastAsiaTheme="minorEastAsia"/>
      <w:noProof/>
      <w:lang w:eastAsia="zh-TW"/>
    </w:rPr>
  </w:style>
  <w:style w:type="paragraph" w:styleId="KonuBal">
    <w:name w:val="Title"/>
    <w:basedOn w:val="Normal"/>
    <w:link w:val="KonuBalChar"/>
    <w:uiPriority w:val="10"/>
    <w:qFormat/>
    <w:rsid w:val="00BD206A"/>
    <w:pPr>
      <w:spacing w:after="0" w:line="240" w:lineRule="auto"/>
      <w:jc w:val="center"/>
    </w:pPr>
    <w:rPr>
      <w:rFonts w:ascii="Arial" w:eastAsia="Times New Roman" w:hAnsi="Arial" w:cs="Times New Roman"/>
      <w:b/>
      <w:noProof w:val="0"/>
      <w:sz w:val="24"/>
      <w:szCs w:val="20"/>
      <w:lang w:eastAsia="tr-TR"/>
    </w:rPr>
  </w:style>
  <w:style w:type="character" w:customStyle="1" w:styleId="KonuBalChar">
    <w:name w:val="Konu Başlığı Char"/>
    <w:basedOn w:val="VarsaylanParagrafYazTipi"/>
    <w:link w:val="KonuBal"/>
    <w:uiPriority w:val="10"/>
    <w:rsid w:val="00BD206A"/>
    <w:rPr>
      <w:rFonts w:ascii="Arial" w:eastAsia="Times New Roman" w:hAnsi="Arial" w:cs="Times New Roman"/>
      <w:b/>
      <w:sz w:val="24"/>
      <w:szCs w:val="20"/>
      <w:lang w:eastAsia="tr-TR"/>
    </w:rPr>
  </w:style>
  <w:style w:type="character" w:customStyle="1" w:styleId="Balk1Char">
    <w:name w:val="Başlık 1 Char"/>
    <w:basedOn w:val="VarsaylanParagrafYazTipi"/>
    <w:link w:val="Balk1"/>
    <w:rsid w:val="00F674CD"/>
    <w:rPr>
      <w:rFonts w:ascii="Arial" w:eastAsia="PMingLiU" w:hAnsi="Arial" w:cs="Times New Roman"/>
      <w:b/>
      <w:bCs/>
      <w:kern w:val="32"/>
      <w:sz w:val="32"/>
      <w:szCs w:val="32"/>
      <w:lang w:val="x-none" w:eastAsia="x-none"/>
    </w:rPr>
  </w:style>
  <w:style w:type="paragraph" w:styleId="DipnotMetni">
    <w:name w:val="footnote text"/>
    <w:basedOn w:val="Normal"/>
    <w:link w:val="DipnotMetniChar"/>
    <w:uiPriority w:val="99"/>
    <w:semiHidden/>
    <w:unhideWhenUsed/>
    <w:rsid w:val="004C3E7F"/>
    <w:pPr>
      <w:spacing w:after="0" w:line="240" w:lineRule="auto"/>
    </w:pPr>
    <w:rPr>
      <w:rFonts w:ascii="Calibri" w:eastAsia="Calibri" w:hAnsi="Calibri" w:cs="Times New Roman"/>
      <w:noProof w:val="0"/>
      <w:sz w:val="20"/>
      <w:szCs w:val="20"/>
      <w:lang w:val="x-none" w:eastAsia="x-none"/>
    </w:rPr>
  </w:style>
  <w:style w:type="character" w:customStyle="1" w:styleId="DipnotMetniChar">
    <w:name w:val="Dipnot Metni Char"/>
    <w:basedOn w:val="VarsaylanParagrafYazTipi"/>
    <w:link w:val="DipnotMetni"/>
    <w:uiPriority w:val="99"/>
    <w:semiHidden/>
    <w:rsid w:val="004C3E7F"/>
    <w:rPr>
      <w:rFonts w:ascii="Calibri" w:eastAsia="Calibri" w:hAnsi="Calibri" w:cs="Times New Roman"/>
      <w:sz w:val="20"/>
      <w:szCs w:val="20"/>
      <w:lang w:val="x-none" w:eastAsia="x-none"/>
    </w:rPr>
  </w:style>
  <w:style w:type="character" w:styleId="DipnotBavurusu">
    <w:name w:val="footnote reference"/>
    <w:uiPriority w:val="99"/>
    <w:semiHidden/>
    <w:unhideWhenUsed/>
    <w:rsid w:val="004C3E7F"/>
    <w:rPr>
      <w:vertAlign w:val="superscript"/>
    </w:rPr>
  </w:style>
  <w:style w:type="paragraph" w:styleId="ListeParagraf">
    <w:name w:val="List Paragraph"/>
    <w:basedOn w:val="Normal"/>
    <w:uiPriority w:val="34"/>
    <w:qFormat/>
    <w:rsid w:val="00116AB7"/>
    <w:pPr>
      <w:spacing w:after="200" w:line="276" w:lineRule="auto"/>
      <w:ind w:left="720"/>
      <w:contextualSpacing/>
    </w:pPr>
    <w:rPr>
      <w:rFonts w:eastAsiaTheme="minorHAnsi"/>
      <w:noProof w:val="0"/>
      <w:lang w:val="en-US" w:eastAsia="en-US"/>
    </w:rPr>
  </w:style>
  <w:style w:type="paragraph" w:styleId="NormalWeb">
    <w:name w:val="Normal (Web)"/>
    <w:basedOn w:val="Normal"/>
    <w:uiPriority w:val="99"/>
    <w:semiHidden/>
    <w:unhideWhenUsed/>
    <w:rsid w:val="001444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C676-EF92-4746-89A7-6324947E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İstemi YILDIZ</dc:creator>
  <cp:lastModifiedBy>Bekir TAŞ</cp:lastModifiedBy>
  <cp:revision>2</cp:revision>
  <cp:lastPrinted>2019-02-05T12:41:00Z</cp:lastPrinted>
  <dcterms:created xsi:type="dcterms:W3CDTF">2022-07-19T13:41:00Z</dcterms:created>
  <dcterms:modified xsi:type="dcterms:W3CDTF">2022-07-19T13:41:00Z</dcterms:modified>
</cp:coreProperties>
</file>