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AE471" w14:textId="52EFB256" w:rsidR="0042059E" w:rsidRDefault="0042059E" w:rsidP="00EA54A3">
      <w:pPr>
        <w:pStyle w:val="NormalWeb"/>
        <w:shd w:val="clear" w:color="auto" w:fill="FEFEFE"/>
        <w:jc w:val="both"/>
        <w:rPr>
          <w:color w:val="000000" w:themeColor="text1"/>
        </w:rPr>
      </w:pPr>
      <w:r>
        <w:rPr>
          <w:color w:val="000000" w:themeColor="text1"/>
        </w:rPr>
        <w:t xml:space="preserve">31487 sayılı ve 21.05.2021 tarihli Resmi </w:t>
      </w:r>
      <w:proofErr w:type="spellStart"/>
      <w:r>
        <w:rPr>
          <w:color w:val="000000" w:themeColor="text1"/>
        </w:rPr>
        <w:t>Gazete’de</w:t>
      </w:r>
      <w:proofErr w:type="spellEnd"/>
      <w:r>
        <w:rPr>
          <w:color w:val="000000" w:themeColor="text1"/>
        </w:rPr>
        <w:t xml:space="preserve"> </w:t>
      </w:r>
      <w:bookmarkStart w:id="0" w:name="_GoBack"/>
      <w:bookmarkEnd w:id="0"/>
      <w:r>
        <w:rPr>
          <w:color w:val="000000" w:themeColor="text1"/>
        </w:rPr>
        <w:t>“</w:t>
      </w:r>
      <w:r w:rsidR="00EA54A3" w:rsidRPr="00EA54A3">
        <w:rPr>
          <w:color w:val="000000" w:themeColor="text1"/>
        </w:rPr>
        <w:t>Elektrik Piyasası Kapasite Mekanizması Yönetmel</w:t>
      </w:r>
      <w:r w:rsidR="00EA54A3">
        <w:rPr>
          <w:color w:val="000000" w:themeColor="text1"/>
        </w:rPr>
        <w:t>iği</w:t>
      </w:r>
      <w:r>
        <w:rPr>
          <w:color w:val="000000" w:themeColor="text1"/>
        </w:rPr>
        <w:t>nde Değişiklik Yapılmasına Dair Yönetmelik”</w:t>
      </w:r>
      <w:r w:rsidR="00EA54A3">
        <w:rPr>
          <w:color w:val="000000" w:themeColor="text1"/>
        </w:rPr>
        <w:t xml:space="preserve"> </w:t>
      </w:r>
      <w:r>
        <w:rPr>
          <w:color w:val="000000" w:themeColor="text1"/>
        </w:rPr>
        <w:t>yayımlanmış olup Yönetmeliğin;</w:t>
      </w:r>
    </w:p>
    <w:p w14:paraId="2866D6F2" w14:textId="43DE3A33" w:rsidR="0042059E" w:rsidRDefault="0042059E" w:rsidP="00EA54A3">
      <w:pPr>
        <w:pStyle w:val="NormalWeb"/>
        <w:shd w:val="clear" w:color="auto" w:fill="FEFEFE"/>
        <w:jc w:val="both"/>
        <w:rPr>
          <w:i/>
          <w:color w:val="000000" w:themeColor="text1"/>
        </w:rPr>
      </w:pPr>
      <w:r>
        <w:rPr>
          <w:b/>
          <w:bCs/>
          <w:i/>
          <w:color w:val="000000"/>
        </w:rPr>
        <w:t>“</w:t>
      </w:r>
      <w:r w:rsidRPr="0042059E">
        <w:rPr>
          <w:b/>
          <w:bCs/>
          <w:i/>
          <w:color w:val="000000"/>
        </w:rPr>
        <w:t>MADDE 2 – </w:t>
      </w:r>
      <w:r w:rsidRPr="0042059E">
        <w:rPr>
          <w:i/>
          <w:color w:val="000000"/>
        </w:rPr>
        <w:t>Aynı Yönetmeliğin 6 </w:t>
      </w:r>
      <w:proofErr w:type="spellStart"/>
      <w:r w:rsidRPr="0042059E">
        <w:rPr>
          <w:rStyle w:val="spelle"/>
          <w:i/>
          <w:color w:val="000000"/>
        </w:rPr>
        <w:t>ncı</w:t>
      </w:r>
      <w:proofErr w:type="spellEnd"/>
      <w:r w:rsidRPr="0042059E">
        <w:rPr>
          <w:i/>
          <w:color w:val="000000"/>
        </w:rPr>
        <w:t> maddesinin ikinci fıkrasının (b) bendinde yer alan “Yap işlet ve” ibaresi yürürlükten kaldırılmış, “yap işlet devret” ibaresi “Yap İşlet Devret” olarak değiştirilmiş, aynı fıkranın (g) bendi yürürlükten kaldırılmış, (ğ) bendi aşağıdaki şekilde değiştirilmiş, aynı maddenin dördüncü fıkrasında yer alan “,(g)” ibaresi yürürlükten kaldırılmıştır.</w:t>
      </w:r>
      <w:r>
        <w:rPr>
          <w:i/>
          <w:color w:val="000000" w:themeColor="text1"/>
        </w:rPr>
        <w:t>”</w:t>
      </w:r>
    </w:p>
    <w:p w14:paraId="3F6B9E27" w14:textId="50AD33AF" w:rsidR="0042059E" w:rsidRPr="0042059E" w:rsidRDefault="0042059E" w:rsidP="00EA54A3">
      <w:pPr>
        <w:pStyle w:val="NormalWeb"/>
        <w:shd w:val="clear" w:color="auto" w:fill="FEFEFE"/>
        <w:jc w:val="both"/>
        <w:rPr>
          <w:i/>
          <w:color w:val="000000" w:themeColor="text1"/>
        </w:rPr>
      </w:pPr>
      <w:proofErr w:type="gramStart"/>
      <w:r>
        <w:rPr>
          <w:b/>
          <w:bCs/>
          <w:i/>
          <w:color w:val="000000"/>
        </w:rPr>
        <w:t>“</w:t>
      </w:r>
      <w:r w:rsidRPr="0042059E">
        <w:rPr>
          <w:b/>
          <w:bCs/>
          <w:i/>
          <w:color w:val="000000"/>
        </w:rPr>
        <w:t>GEÇİCİ MADDE 4 –</w:t>
      </w:r>
      <w:r w:rsidRPr="0042059E">
        <w:rPr>
          <w:i/>
          <w:color w:val="000000"/>
        </w:rPr>
        <w:t> (1) Bu maddeyi ihdas eden Yönetmelik ile 6 </w:t>
      </w:r>
      <w:proofErr w:type="spellStart"/>
      <w:r w:rsidRPr="0042059E">
        <w:rPr>
          <w:rStyle w:val="spelle"/>
          <w:i/>
          <w:color w:val="000000"/>
        </w:rPr>
        <w:t>ncı</w:t>
      </w:r>
      <w:proofErr w:type="spellEnd"/>
      <w:r w:rsidRPr="0042059E">
        <w:rPr>
          <w:i/>
          <w:color w:val="000000"/>
        </w:rPr>
        <w:t> maddenin ikinci fıkrasının (b) ve (g) bentleri kapsamında yapılan değişikliklerden etkilenen ve 2021 yılı Kapasite Mekanizmasına başvurmak isteyen lisans sahibi tüzel kişiler, bu maddenin yayımı tarihinden itibaren 15 gün içerisinde Sistem İşletmecisine başvurur ve başvurusu uygun bulunan tüzel kişilerin santralleri, başvuru tarihinden itibaren kapasite mekanizmasından yararlanacak tesisler listesine eklenir.”</w:t>
      </w:r>
      <w:proofErr w:type="gramEnd"/>
    </w:p>
    <w:p w14:paraId="65F2255C" w14:textId="74F1DC69" w:rsidR="00EA54A3" w:rsidRPr="00E04A7A" w:rsidRDefault="0042059E" w:rsidP="00EA54A3">
      <w:pPr>
        <w:pStyle w:val="NormalWeb"/>
        <w:shd w:val="clear" w:color="auto" w:fill="FEFEFE"/>
        <w:jc w:val="both"/>
        <w:rPr>
          <w:color w:val="FF0000"/>
        </w:rPr>
      </w:pPr>
      <w:r>
        <w:rPr>
          <w:color w:val="000000" w:themeColor="text1"/>
        </w:rPr>
        <w:t xml:space="preserve">Hükümleri doğrultusunda belirtilen şartları taşıyan </w:t>
      </w:r>
      <w:r w:rsidR="00EA54A3" w:rsidRPr="00EA54A3">
        <w:rPr>
          <w:color w:val="000000" w:themeColor="text1"/>
        </w:rPr>
        <w:t>santrallere sahip Tüzel Kişilerin</w:t>
      </w:r>
      <w:r>
        <w:rPr>
          <w:color w:val="000000" w:themeColor="text1"/>
        </w:rPr>
        <w:t xml:space="preserve"> </w:t>
      </w:r>
      <w:r w:rsidR="00D4235D">
        <w:rPr>
          <w:color w:val="000000" w:themeColor="text1"/>
        </w:rPr>
        <w:t xml:space="preserve">2021 yılında </w:t>
      </w:r>
      <w:r>
        <w:rPr>
          <w:color w:val="000000" w:themeColor="text1"/>
        </w:rPr>
        <w:t>Kapasite Mekanizmasından yararlanabilmeleri için</w:t>
      </w:r>
      <w:r w:rsidR="00EA54A3" w:rsidRPr="00EA54A3">
        <w:rPr>
          <w:color w:val="000000" w:themeColor="text1"/>
        </w:rPr>
        <w:t xml:space="preserve">, duyuru ekinde yer alan formu doldurup eklerini </w:t>
      </w:r>
      <w:r w:rsidR="00EA54A3">
        <w:rPr>
          <w:color w:val="000000" w:themeColor="text1"/>
        </w:rPr>
        <w:t xml:space="preserve">hazırlayarak </w:t>
      </w:r>
      <w:r>
        <w:rPr>
          <w:color w:val="000000" w:themeColor="text1"/>
        </w:rPr>
        <w:t xml:space="preserve">4 Haziran 2021 (Cuma) </w:t>
      </w:r>
      <w:r w:rsidR="00EA54A3" w:rsidRPr="00EA54A3">
        <w:rPr>
          <w:color w:val="000000" w:themeColor="text1"/>
        </w:rPr>
        <w:t>tarihi mesai bitimine kadar Teşekkülümüze başvurmaları gerekmektedir. </w:t>
      </w:r>
    </w:p>
    <w:p w14:paraId="15902E57" w14:textId="79B64E70" w:rsidR="00EA54A3" w:rsidRPr="00EA54A3" w:rsidRDefault="00EA54A3" w:rsidP="00EA54A3">
      <w:pPr>
        <w:pStyle w:val="NormalWeb"/>
        <w:shd w:val="clear" w:color="auto" w:fill="FEFEFE"/>
        <w:jc w:val="both"/>
        <w:rPr>
          <w:color w:val="000000" w:themeColor="text1"/>
        </w:rPr>
      </w:pPr>
      <w:r w:rsidRPr="00EA54A3">
        <w:rPr>
          <w:rStyle w:val="Gl"/>
          <w:color w:val="000000" w:themeColor="text1"/>
        </w:rPr>
        <w:t>Başvuru formu her santral için ayrı olarak hazırlanacak</w:t>
      </w:r>
      <w:r w:rsidRPr="00EA54A3">
        <w:rPr>
          <w:color w:val="000000" w:themeColor="text1"/>
        </w:rPr>
        <w:t> olup resmi yazı ekinde Teşekkülümüz Yük Tevzi Dairesi Başkanlığına sunulmalıdır.</w:t>
      </w:r>
    </w:p>
    <w:p w14:paraId="574E7301" w14:textId="5867ED71" w:rsidR="005E65E3" w:rsidRDefault="005E65E3">
      <w:pPr>
        <w:rPr>
          <w:rFonts w:ascii="Times New Roman" w:hAnsi="Times New Roman" w:cs="Times New Roman"/>
          <w:color w:val="000000" w:themeColor="text1"/>
        </w:rPr>
      </w:pPr>
    </w:p>
    <w:p w14:paraId="138D10A0" w14:textId="77777777" w:rsidR="0029386D" w:rsidRDefault="0029386D" w:rsidP="0029386D">
      <w:pPr>
        <w:shd w:val="clear" w:color="auto" w:fill="FEFEFE"/>
        <w:spacing w:before="100" w:beforeAutospacing="1" w:after="100" w:afterAutospacing="1"/>
        <w:rPr>
          <w:b/>
          <w:bCs/>
          <w:caps/>
          <w:color w:val="000000"/>
          <w:sz w:val="36"/>
          <w:szCs w:val="36"/>
          <w:lang w:eastAsia="tr-TR"/>
        </w:rPr>
      </w:pPr>
      <w:r>
        <w:rPr>
          <w:b/>
          <w:bCs/>
          <w:caps/>
          <w:color w:val="000000"/>
          <w:sz w:val="36"/>
          <w:szCs w:val="36"/>
          <w:lang w:eastAsia="tr-TR"/>
        </w:rPr>
        <w:t>KAPASİTE MEKANİZMASINA BAŞVURACAK OLAN DOĞALGAZ YAKITLI SANTRALLER İÇİN VERİM HESABI</w:t>
      </w:r>
    </w:p>
    <w:p w14:paraId="25C37596" w14:textId="77777777" w:rsidR="0029386D" w:rsidRDefault="0029386D" w:rsidP="0029386D">
      <w:pPr>
        <w:shd w:val="clear" w:color="auto" w:fill="FEFEFE"/>
        <w:spacing w:before="100" w:beforeAutospacing="1" w:after="100" w:afterAutospacing="1"/>
        <w:rPr>
          <w:color w:val="6D6E71"/>
          <w:sz w:val="24"/>
          <w:szCs w:val="24"/>
          <w:lang w:eastAsia="tr-TR"/>
        </w:rPr>
      </w:pPr>
      <w:r>
        <w:rPr>
          <w:color w:val="6D6E71"/>
          <w:sz w:val="24"/>
          <w:szCs w:val="24"/>
          <w:lang w:eastAsia="tr-TR"/>
        </w:rPr>
        <w:t xml:space="preserve">Elektrik Piyasası Kapasite Mekanizması 6. Maddesinin 2. Fıkrasının ğ) bendinde doğalgaz santralleri için verimlilik oranının üst ısıl değer </w:t>
      </w:r>
      <w:proofErr w:type="gramStart"/>
      <w:r>
        <w:rPr>
          <w:color w:val="6D6E71"/>
          <w:sz w:val="24"/>
          <w:szCs w:val="24"/>
          <w:lang w:eastAsia="tr-TR"/>
        </w:rPr>
        <w:t>baz</w:t>
      </w:r>
      <w:proofErr w:type="gramEnd"/>
      <w:r>
        <w:rPr>
          <w:color w:val="6D6E71"/>
          <w:sz w:val="24"/>
          <w:szCs w:val="24"/>
          <w:lang w:eastAsia="tr-TR"/>
        </w:rPr>
        <w:t xml:space="preserve"> alınarak hesaplanacağı belirtilmektedir. Bu nedenle geçici kabulünde açık biçimde üst ısıl değer üzerinden verimlilik oranı yer almayan doğalgaz santrallerinin, verimlilik oranını aşağıda belirtilen şekilde hesaplamaları ve verim hesabını da başvuru yapılan yazıya eklemeleri gerekmektedir.</w:t>
      </w:r>
    </w:p>
    <w:p w14:paraId="5682BC74" w14:textId="77777777" w:rsidR="0029386D" w:rsidRDefault="0029386D" w:rsidP="0029386D">
      <w:pPr>
        <w:pStyle w:val="ListeParagraf"/>
        <w:numPr>
          <w:ilvl w:val="0"/>
          <w:numId w:val="1"/>
        </w:numPr>
        <w:shd w:val="clear" w:color="auto" w:fill="FEFEFE"/>
        <w:spacing w:before="100" w:beforeAutospacing="1" w:after="100" w:afterAutospacing="1"/>
        <w:rPr>
          <w:color w:val="1F497D"/>
          <w:sz w:val="24"/>
          <w:szCs w:val="24"/>
          <w:lang w:eastAsia="tr-TR"/>
        </w:rPr>
      </w:pPr>
      <w:r>
        <w:rPr>
          <w:color w:val="6D6E71"/>
          <w:sz w:val="24"/>
          <w:szCs w:val="24"/>
          <w:lang w:eastAsia="tr-TR"/>
        </w:rPr>
        <w:t xml:space="preserve">Doğal Gazın Faturalandırmaya Esas Satış Miktarının Tespiti ve Faturalandırılmasına İlişkin Esaslar Hakkında Tebliğde doğal gazın referans üst ısıl değeri olarak 9155 </w:t>
      </w:r>
      <w:proofErr w:type="spellStart"/>
      <w:r>
        <w:rPr>
          <w:color w:val="6D6E71"/>
          <w:sz w:val="24"/>
          <w:szCs w:val="24"/>
          <w:lang w:eastAsia="tr-TR"/>
        </w:rPr>
        <w:t>kcal</w:t>
      </w:r>
      <w:proofErr w:type="spellEnd"/>
      <w:r>
        <w:rPr>
          <w:color w:val="6D6E71"/>
          <w:sz w:val="24"/>
          <w:szCs w:val="24"/>
          <w:lang w:eastAsia="tr-TR"/>
        </w:rPr>
        <w:t xml:space="preserve">/m3 esas alınacağı düzenlenmiştir. Geçici kabulünde açık biçimde üst ısıl değer üzerinden verimlilik oranı yer almayan doğalgaz santralleri için; geçici kabulde bulunan ve alt ısıl değer üzerinden hesaplanmış verimlilik değerinin geçici kabuldeki hesaplamaya esas doğalgaz alt ısıl değerine çarpılması ve doğal gazın referans üst ısıl değeri olan 9155 </w:t>
      </w:r>
      <w:proofErr w:type="spellStart"/>
      <w:r>
        <w:rPr>
          <w:color w:val="6D6E71"/>
          <w:sz w:val="24"/>
          <w:szCs w:val="24"/>
          <w:lang w:eastAsia="tr-TR"/>
        </w:rPr>
        <w:t>kcal</w:t>
      </w:r>
      <w:proofErr w:type="spellEnd"/>
      <w:r>
        <w:rPr>
          <w:color w:val="6D6E71"/>
          <w:sz w:val="24"/>
          <w:szCs w:val="24"/>
          <w:lang w:eastAsia="tr-TR"/>
        </w:rPr>
        <w:t xml:space="preserve">/m3 ile bölünmesinden ortaya çıkan yeni verimlilik değerinin </w:t>
      </w:r>
      <w:proofErr w:type="gramStart"/>
      <w:r>
        <w:rPr>
          <w:color w:val="6D6E71"/>
          <w:sz w:val="24"/>
          <w:szCs w:val="24"/>
          <w:lang w:eastAsia="tr-TR"/>
        </w:rPr>
        <w:t>baz</w:t>
      </w:r>
      <w:proofErr w:type="gramEnd"/>
      <w:r>
        <w:rPr>
          <w:color w:val="6D6E71"/>
          <w:sz w:val="24"/>
          <w:szCs w:val="24"/>
          <w:lang w:eastAsia="tr-TR"/>
        </w:rPr>
        <w:t xml:space="preserve"> alınmasının uygundur.</w:t>
      </w:r>
    </w:p>
    <w:p w14:paraId="70849A7C" w14:textId="77777777" w:rsidR="0029386D" w:rsidRDefault="0029386D" w:rsidP="0029386D">
      <w:pPr>
        <w:pStyle w:val="ListeParagraf"/>
        <w:numPr>
          <w:ilvl w:val="0"/>
          <w:numId w:val="1"/>
        </w:numPr>
        <w:shd w:val="clear" w:color="auto" w:fill="FEFEFE"/>
        <w:spacing w:before="100" w:beforeAutospacing="1" w:after="100" w:afterAutospacing="1"/>
        <w:rPr>
          <w:color w:val="6D6E71"/>
          <w:sz w:val="24"/>
          <w:szCs w:val="24"/>
          <w:lang w:eastAsia="tr-TR"/>
        </w:rPr>
      </w:pPr>
      <w:r>
        <w:rPr>
          <w:b/>
          <w:bCs/>
          <w:color w:val="6D6E71"/>
          <w:sz w:val="24"/>
          <w:szCs w:val="24"/>
          <w:lang w:eastAsia="tr-TR"/>
        </w:rPr>
        <w:t xml:space="preserve">Birden fazla bloktan oluşan ve geçici kabul tutanaklarında üst ısıl değer </w:t>
      </w:r>
      <w:proofErr w:type="gramStart"/>
      <w:r>
        <w:rPr>
          <w:b/>
          <w:bCs/>
          <w:color w:val="6D6E71"/>
          <w:sz w:val="24"/>
          <w:szCs w:val="24"/>
          <w:lang w:eastAsia="tr-TR"/>
        </w:rPr>
        <w:t>baz</w:t>
      </w:r>
      <w:proofErr w:type="gramEnd"/>
      <w:r>
        <w:rPr>
          <w:b/>
          <w:bCs/>
          <w:color w:val="6D6E71"/>
          <w:sz w:val="24"/>
          <w:szCs w:val="24"/>
          <w:lang w:eastAsia="tr-TR"/>
        </w:rPr>
        <w:t xml:space="preserve"> alınarak bütün santrali kapsayan bir verim değerinin bulunmadığı</w:t>
      </w:r>
      <w:r>
        <w:rPr>
          <w:color w:val="6D6E71"/>
          <w:sz w:val="24"/>
          <w:szCs w:val="24"/>
          <w:lang w:eastAsia="tr-TR"/>
        </w:rPr>
        <w:t> doğalgaz yakıtlı santraller için üst ısıl değer baz alınarak yapılacak olan verim hesabı ise aşağıdaki gibidir.</w:t>
      </w:r>
    </w:p>
    <w:p w14:paraId="2A2779EA" w14:textId="5FCBE4E8" w:rsidR="0029386D" w:rsidRDefault="0029386D" w:rsidP="0029386D">
      <w:pPr>
        <w:shd w:val="clear" w:color="auto" w:fill="FEFEFE"/>
        <w:spacing w:before="100" w:beforeAutospacing="1" w:after="100" w:afterAutospacing="1"/>
        <w:rPr>
          <w:color w:val="6D6E71"/>
          <w:sz w:val="24"/>
          <w:szCs w:val="24"/>
          <w:lang w:eastAsia="tr-TR"/>
        </w:rPr>
      </w:pPr>
      <w:r>
        <w:rPr>
          <w:noProof/>
          <w:color w:val="6D6E71"/>
          <w:sz w:val="24"/>
          <w:szCs w:val="24"/>
          <w:lang w:eastAsia="tr-TR"/>
        </w:rPr>
        <w:lastRenderedPageBreak/>
        <w:drawing>
          <wp:inline distT="0" distB="0" distL="0" distR="0" wp14:anchorId="461AF746" wp14:editId="6F2C04DF">
            <wp:extent cx="6400338" cy="3021000"/>
            <wp:effectExtent l="0" t="0" r="635" b="8255"/>
            <wp:docPr id="1" name="Resim 1" descr="cid:image001.png@01D56FC0.F227D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id:image001.png@01D56FC0.F227DB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35763" cy="3037721"/>
                    </a:xfrm>
                    <a:prstGeom prst="rect">
                      <a:avLst/>
                    </a:prstGeom>
                    <a:noFill/>
                    <a:ln>
                      <a:noFill/>
                    </a:ln>
                  </pic:spPr>
                </pic:pic>
              </a:graphicData>
            </a:graphic>
          </wp:inline>
        </w:drawing>
      </w:r>
    </w:p>
    <w:p w14:paraId="477CCB04" w14:textId="77777777" w:rsidR="0029386D" w:rsidRDefault="0029386D" w:rsidP="0029386D"/>
    <w:p w14:paraId="260CFE11" w14:textId="77777777" w:rsidR="0029386D" w:rsidRPr="00EA54A3" w:rsidRDefault="0029386D">
      <w:pPr>
        <w:rPr>
          <w:rFonts w:ascii="Times New Roman" w:hAnsi="Times New Roman" w:cs="Times New Roman"/>
          <w:color w:val="000000" w:themeColor="text1"/>
        </w:rPr>
      </w:pPr>
    </w:p>
    <w:sectPr w:rsidR="0029386D" w:rsidRPr="00EA5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552C"/>
    <w:multiLevelType w:val="hybridMultilevel"/>
    <w:tmpl w:val="B4964F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A3"/>
    <w:rsid w:val="000F3BBA"/>
    <w:rsid w:val="0029386D"/>
    <w:rsid w:val="0042059E"/>
    <w:rsid w:val="005E65E3"/>
    <w:rsid w:val="00A673B4"/>
    <w:rsid w:val="00D4235D"/>
    <w:rsid w:val="00D8248A"/>
    <w:rsid w:val="00E04A7A"/>
    <w:rsid w:val="00EA5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4E2"/>
  <w15:chartTrackingRefBased/>
  <w15:docId w15:val="{5EB8670A-AF29-4270-A2BE-58C3ED69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54A3"/>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EA54A3"/>
    <w:rPr>
      <w:b/>
      <w:bCs/>
    </w:rPr>
  </w:style>
  <w:style w:type="character" w:styleId="AklamaBavurusu">
    <w:name w:val="annotation reference"/>
    <w:basedOn w:val="VarsaylanParagrafYazTipi"/>
    <w:uiPriority w:val="99"/>
    <w:semiHidden/>
    <w:unhideWhenUsed/>
    <w:rsid w:val="00E04A7A"/>
    <w:rPr>
      <w:sz w:val="16"/>
      <w:szCs w:val="16"/>
    </w:rPr>
  </w:style>
  <w:style w:type="paragraph" w:styleId="AklamaMetni">
    <w:name w:val="annotation text"/>
    <w:basedOn w:val="Normal"/>
    <w:link w:val="AklamaMetniChar"/>
    <w:uiPriority w:val="99"/>
    <w:semiHidden/>
    <w:unhideWhenUsed/>
    <w:rsid w:val="00E04A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4A7A"/>
    <w:rPr>
      <w:sz w:val="20"/>
      <w:szCs w:val="20"/>
    </w:rPr>
  </w:style>
  <w:style w:type="paragraph" w:styleId="AklamaKonusu">
    <w:name w:val="annotation subject"/>
    <w:basedOn w:val="AklamaMetni"/>
    <w:next w:val="AklamaMetni"/>
    <w:link w:val="AklamaKonusuChar"/>
    <w:uiPriority w:val="99"/>
    <w:semiHidden/>
    <w:unhideWhenUsed/>
    <w:rsid w:val="00E04A7A"/>
    <w:rPr>
      <w:b/>
      <w:bCs/>
    </w:rPr>
  </w:style>
  <w:style w:type="character" w:customStyle="1" w:styleId="AklamaKonusuChar">
    <w:name w:val="Açıklama Konusu Char"/>
    <w:basedOn w:val="AklamaMetniChar"/>
    <w:link w:val="AklamaKonusu"/>
    <w:uiPriority w:val="99"/>
    <w:semiHidden/>
    <w:rsid w:val="00E04A7A"/>
    <w:rPr>
      <w:b/>
      <w:bCs/>
      <w:sz w:val="20"/>
      <w:szCs w:val="20"/>
    </w:rPr>
  </w:style>
  <w:style w:type="paragraph" w:styleId="BalonMetni">
    <w:name w:val="Balloon Text"/>
    <w:basedOn w:val="Normal"/>
    <w:link w:val="BalonMetniChar"/>
    <w:uiPriority w:val="99"/>
    <w:semiHidden/>
    <w:unhideWhenUsed/>
    <w:rsid w:val="00E04A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A7A"/>
    <w:rPr>
      <w:rFonts w:ascii="Segoe UI" w:hAnsi="Segoe UI" w:cs="Segoe UI"/>
      <w:sz w:val="18"/>
      <w:szCs w:val="18"/>
    </w:rPr>
  </w:style>
  <w:style w:type="paragraph" w:styleId="ListeParagraf">
    <w:name w:val="List Paragraph"/>
    <w:basedOn w:val="Normal"/>
    <w:uiPriority w:val="34"/>
    <w:qFormat/>
    <w:rsid w:val="0029386D"/>
    <w:pPr>
      <w:spacing w:after="0" w:line="240" w:lineRule="auto"/>
      <w:ind w:left="720"/>
    </w:pPr>
    <w:rPr>
      <w:rFonts w:ascii="Calibri" w:hAnsi="Calibri" w:cs="Calibri"/>
    </w:rPr>
  </w:style>
  <w:style w:type="character" w:customStyle="1" w:styleId="spelle">
    <w:name w:val="spelle"/>
    <w:basedOn w:val="VarsaylanParagrafYazTipi"/>
    <w:rsid w:val="0042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4765">
      <w:bodyDiv w:val="1"/>
      <w:marLeft w:val="0"/>
      <w:marRight w:val="0"/>
      <w:marTop w:val="0"/>
      <w:marBottom w:val="0"/>
      <w:divBdr>
        <w:top w:val="none" w:sz="0" w:space="0" w:color="auto"/>
        <w:left w:val="none" w:sz="0" w:space="0" w:color="auto"/>
        <w:bottom w:val="none" w:sz="0" w:space="0" w:color="auto"/>
        <w:right w:val="none" w:sz="0" w:space="0" w:color="auto"/>
      </w:divBdr>
    </w:div>
    <w:div w:id="17591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56FC0.F227DB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1AEF-BE01-4452-95D5-9DD9FCB6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Nedret AKGÜL</dc:creator>
  <cp:keywords/>
  <dc:description/>
  <cp:lastModifiedBy>Nedret AKGÜL</cp:lastModifiedBy>
  <cp:revision>5</cp:revision>
  <dcterms:created xsi:type="dcterms:W3CDTF">2021-05-21T07:42:00Z</dcterms:created>
  <dcterms:modified xsi:type="dcterms:W3CDTF">2021-05-21T08:04:00Z</dcterms:modified>
</cp:coreProperties>
</file>